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Arial"/>
          <w:b/>
          <w:bCs/>
          <w:szCs w:val="20"/>
        </w:rPr>
      </w:pPr>
      <w:r>
        <w:rPr>
          <w:rFonts w:cs="Arial" w:ascii="Verdana" w:hAnsi="Verdana"/>
          <w:b/>
          <w:bCs/>
          <w:szCs w:val="20"/>
        </w:rPr>
        <w:t>AVISO DE DISPENSA ELETRÔNICA Nº 020/2025</w:t>
      </w:r>
    </w:p>
    <w:p>
      <w:pPr>
        <w:pStyle w:val="Normal"/>
        <w:spacing w:lineRule="auto" w:line="276"/>
        <w:jc w:val="center"/>
        <w:rPr>
          <w:rFonts w:ascii="Verdana" w:hAnsi="Verdana" w:cs="Arial"/>
          <w:b/>
          <w:bCs/>
          <w:szCs w:val="20"/>
        </w:rPr>
      </w:pPr>
      <w:r>
        <w:rPr>
          <w:rFonts w:cs="Arial" w:ascii="Verdana" w:hAnsi="Verdana"/>
          <w:b/>
          <w:bCs/>
          <w:szCs w:val="20"/>
        </w:rPr>
        <w:t>(Processo Administrativo n.º 002192/2025 de 20/03/2025)</w:t>
      </w:r>
    </w:p>
    <w:p>
      <w:pPr>
        <w:pStyle w:val="Normal"/>
        <w:spacing w:lineRule="auto" w:line="276"/>
        <w:rPr>
          <w:rFonts w:ascii="Verdana" w:hAnsi="Verdana" w:cs="Arial"/>
          <w:sz w:val="18"/>
          <w:szCs w:val="18"/>
        </w:rPr>
      </w:pPr>
      <w:r>
        <w:rPr>
          <w:rFonts w:cs="Arial" w:ascii="Verdana" w:hAnsi="Verdana"/>
          <w:sz w:val="18"/>
          <w:szCs w:val="18"/>
        </w:rPr>
      </w:r>
    </w:p>
    <w:p>
      <w:pPr>
        <w:pStyle w:val="Normal"/>
        <w:snapToGrid w:val="false"/>
        <w:spacing w:lineRule="auto" w:line="276"/>
        <w:ind w:firstLine="540" w:right="-30"/>
        <w:jc w:val="both"/>
        <w:rPr>
          <w:rFonts w:ascii="Verdana" w:hAnsi="Verdana"/>
          <w:szCs w:val="20"/>
        </w:rPr>
      </w:pPr>
      <w:r>
        <w:rPr>
          <w:rFonts w:cs="Arial" w:ascii="Verdana" w:hAnsi="Verdana"/>
          <w:szCs w:val="20"/>
        </w:rPr>
        <w:t>Torna-se público que o(a)</w:t>
      </w:r>
      <w:r>
        <w:rPr>
          <w:rFonts w:eastAsia="Arial" w:cs="Arial" w:ascii="Verdana" w:hAnsi="Verdana"/>
          <w:szCs w:val="20"/>
        </w:rPr>
        <w:t xml:space="preserve"> a Prefeitura Municipal de São Gabriel da Palha-ES</w:t>
      </w:r>
      <w:r>
        <w:rPr>
          <w:rFonts w:cs="Arial" w:ascii="Verdana" w:hAnsi="Verdana"/>
          <w:szCs w:val="20"/>
        </w:rPr>
        <w:t xml:space="preserve">, por meio da Secretaria Municipal de Cultura e Arte, realizará Dispensa Eletrônica, </w:t>
      </w:r>
      <w:r>
        <w:rPr>
          <w:rFonts w:cs="Arial" w:ascii="Verdana" w:hAnsi="Verdana"/>
          <w:bCs/>
          <w:szCs w:val="20"/>
        </w:rPr>
        <w:t xml:space="preserve">com critério de julgamento </w:t>
      </w:r>
      <w:r>
        <w:rPr>
          <w:rFonts w:cs="Arial" w:ascii="Verdana" w:hAnsi="Verdana"/>
          <w:b/>
          <w:bCs/>
          <w:i/>
          <w:szCs w:val="20"/>
        </w:rPr>
        <w:t xml:space="preserve">menor preço global, </w:t>
      </w:r>
      <w:r>
        <w:rPr>
          <w:rFonts w:cs="Arial" w:ascii="Verdana" w:hAnsi="Verdana"/>
          <w:szCs w:val="20"/>
        </w:rPr>
        <w:t>na hipótese do art. 75</w:t>
      </w:r>
      <w:r>
        <w:rPr>
          <w:rFonts w:cs="Arial" w:ascii="Verdana" w:hAnsi="Verdana"/>
          <w:i/>
          <w:iCs/>
          <w:szCs w:val="20"/>
        </w:rPr>
        <w:t>, Inciso</w:t>
      </w:r>
      <w:r>
        <w:rPr>
          <w:rFonts w:cs="Arial" w:ascii="Verdana" w:hAnsi="Verdana"/>
          <w:b/>
          <w:i/>
          <w:iCs/>
          <w:szCs w:val="20"/>
        </w:rPr>
        <w:t xml:space="preserve"> II</w:t>
      </w:r>
      <w:r>
        <w:rPr>
          <w:rFonts w:cs="Arial" w:ascii="Verdana" w:hAnsi="Verdana"/>
          <w:i/>
          <w:iCs/>
          <w:szCs w:val="20"/>
        </w:rPr>
        <w:t>,</w:t>
      </w:r>
      <w:r>
        <w:rPr>
          <w:rFonts w:cs="Arial" w:ascii="Verdana" w:hAnsi="Verdana"/>
          <w:szCs w:val="20"/>
        </w:rPr>
        <w:t xml:space="preserve"> </w:t>
      </w:r>
      <w:r>
        <w:rPr>
          <w:rFonts w:cs="Arial" w:ascii="Verdana" w:hAnsi="Verdana"/>
          <w:bCs/>
          <w:szCs w:val="20"/>
        </w:rPr>
        <w:t>nos termos da Lei nº 14.133, de 1º de abril de 2021, e demais legislação aplicável</w:t>
      </w:r>
      <w:r>
        <w:rPr>
          <w:rFonts w:cs="Arial" w:ascii="Verdana" w:hAnsi="Verdana"/>
          <w:szCs w:val="20"/>
        </w:rPr>
        <w:t>.</w:t>
      </w:r>
    </w:p>
    <w:p>
      <w:pPr>
        <w:pStyle w:val="Normal"/>
        <w:spacing w:lineRule="auto" w:line="276"/>
        <w:jc w:val="both"/>
        <w:rPr>
          <w:rFonts w:ascii="Verdana" w:hAnsi="Verdana" w:cs="Arial"/>
          <w:sz w:val="18"/>
          <w:szCs w:val="18"/>
        </w:rPr>
      </w:pPr>
      <w:r>
        <w:rPr>
          <w:rFonts w:cs="Arial" w:ascii="Verdana" w:hAnsi="Verdana"/>
          <w:sz w:val="18"/>
          <w:szCs w:val="18"/>
        </w:rPr>
      </w:r>
    </w:p>
    <w:p>
      <w:pPr>
        <w:pStyle w:val="Normal"/>
        <w:spacing w:lineRule="auto" w:line="276"/>
        <w:jc w:val="both"/>
        <w:rPr>
          <w:rFonts w:ascii="Verdana" w:hAnsi="Verdana" w:cs="Arial"/>
          <w:b/>
          <w:bCs/>
          <w:szCs w:val="20"/>
        </w:rPr>
      </w:pPr>
      <w:r>
        <w:rPr>
          <w:rFonts w:cs="Arial" w:ascii="Verdana" w:hAnsi="Verdana"/>
          <w:b/>
          <w:bCs/>
          <w:szCs w:val="20"/>
        </w:rPr>
        <w:t xml:space="preserve">Data da sessão: </w:t>
      </w:r>
      <w:r>
        <w:rPr>
          <w:rFonts w:cs="Arial" w:ascii="Verdana" w:hAnsi="Verdana"/>
          <w:b/>
          <w:bCs/>
          <w:szCs w:val="20"/>
        </w:rPr>
        <w:t>24/04/202</w:t>
      </w:r>
      <w:r>
        <w:rPr>
          <w:rFonts w:cs="Arial" w:ascii="Verdana" w:hAnsi="Verdana"/>
          <w:b/>
          <w:bCs/>
          <w:szCs w:val="20"/>
        </w:rPr>
        <w:t>5.</w:t>
      </w:r>
    </w:p>
    <w:p>
      <w:pPr>
        <w:pStyle w:val="Normal"/>
        <w:spacing w:lineRule="auto" w:line="276"/>
        <w:rPr>
          <w:rFonts w:ascii="Verdana" w:hAnsi="Verdana" w:cs="Arial"/>
          <w:b/>
          <w:bCs/>
          <w:szCs w:val="20"/>
        </w:rPr>
      </w:pPr>
      <w:r>
        <w:rPr>
          <w:rFonts w:cs="Arial" w:ascii="Verdana" w:hAnsi="Verdana"/>
          <w:b/>
          <w:bCs/>
          <w:szCs w:val="20"/>
        </w:rPr>
        <w:t xml:space="preserve">Link: </w:t>
      </w:r>
      <w:hyperlink r:id="rId2">
        <w:r>
          <w:rPr>
            <w:rStyle w:val="Hyperlink"/>
            <w:rFonts w:ascii="Verdana" w:hAnsi="Verdana"/>
            <w:b/>
            <w:bCs/>
            <w:color w:val="auto"/>
            <w:szCs w:val="20"/>
          </w:rPr>
          <w:t>www.portaldecompraspublicas.com.br</w:t>
        </w:r>
      </w:hyperlink>
    </w:p>
    <w:p>
      <w:pPr>
        <w:pStyle w:val="Normal"/>
        <w:spacing w:lineRule="auto" w:line="276"/>
        <w:rPr>
          <w:rFonts w:ascii="Verdana" w:hAnsi="Verdana" w:cs="Arial"/>
          <w:b/>
          <w:bCs/>
          <w:szCs w:val="20"/>
        </w:rPr>
      </w:pPr>
      <w:r>
        <w:rPr>
          <w:rFonts w:cs="Arial" w:ascii="Verdana" w:hAnsi="Verdana"/>
          <w:b/>
          <w:bCs/>
          <w:szCs w:val="20"/>
        </w:rPr>
        <w:t xml:space="preserve">Horário da Fase de Lances: </w:t>
      </w:r>
      <w:r>
        <w:rPr>
          <w:rFonts w:cs="Arial" w:ascii="Verdana" w:hAnsi="Verdana"/>
          <w:b/>
          <w:bCs/>
          <w:szCs w:val="20"/>
        </w:rPr>
        <w:t>08</w:t>
      </w:r>
      <w:r>
        <w:rPr>
          <w:rFonts w:cs="Arial" w:ascii="Verdana" w:hAnsi="Verdana"/>
          <w:b/>
          <w:bCs/>
          <w:szCs w:val="20"/>
        </w:rPr>
        <w:t>h</w:t>
      </w:r>
      <w:r>
        <w:rPr>
          <w:rFonts w:cs="Arial" w:ascii="Verdana" w:hAnsi="Verdana"/>
          <w:b/>
          <w:bCs/>
          <w:szCs w:val="20"/>
        </w:rPr>
        <w:t>00</w:t>
      </w:r>
      <w:r>
        <w:rPr>
          <w:rFonts w:cs="Arial" w:ascii="Verdana" w:hAnsi="Verdana"/>
          <w:b/>
          <w:bCs/>
          <w:szCs w:val="20"/>
        </w:rPr>
        <w:t xml:space="preserve">min as </w:t>
      </w:r>
      <w:r>
        <w:rPr>
          <w:rFonts w:cs="Arial" w:ascii="Verdana" w:hAnsi="Verdana"/>
          <w:b/>
          <w:bCs/>
          <w:szCs w:val="20"/>
        </w:rPr>
        <w:t>14</w:t>
      </w:r>
      <w:r>
        <w:rPr>
          <w:rFonts w:cs="Arial" w:ascii="Verdana" w:hAnsi="Verdana"/>
          <w:b/>
          <w:bCs/>
          <w:szCs w:val="20"/>
        </w:rPr>
        <w:t>h</w:t>
      </w:r>
      <w:r>
        <w:rPr>
          <w:rFonts w:cs="Arial" w:ascii="Verdana" w:hAnsi="Verdana"/>
          <w:b/>
          <w:bCs/>
          <w:szCs w:val="20"/>
        </w:rPr>
        <w:t>00</w:t>
      </w:r>
      <w:r>
        <w:rPr>
          <w:rFonts w:cs="Arial" w:ascii="Verdana" w:hAnsi="Verdana"/>
          <w:b/>
          <w:bCs/>
          <w:szCs w:val="20"/>
        </w:rPr>
        <w:t>min.</w:t>
      </w:r>
    </w:p>
    <w:p>
      <w:pPr>
        <w:pStyle w:val="Normal"/>
        <w:spacing w:lineRule="auto" w:line="276"/>
        <w:rPr>
          <w:rFonts w:ascii="Verdana" w:hAnsi="Verdana" w:cs="Arial"/>
          <w:sz w:val="18"/>
          <w:szCs w:val="18"/>
        </w:rPr>
      </w:pPr>
      <w:r>
        <w:rPr>
          <w:rFonts w:cs="Arial" w:ascii="Verdana" w:hAnsi="Verdana"/>
          <w:sz w:val="18"/>
          <w:szCs w:val="18"/>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OBJETO DA CONTRATAÇÃO DIRETA</w:t>
      </w:r>
    </w:p>
    <w:p>
      <w:pPr>
        <w:pStyle w:val="PADRO"/>
        <w:keepNext w:val="false"/>
        <w:widowControl/>
        <w:numPr>
          <w:ilvl w:val="1"/>
          <w:numId w:val="1"/>
        </w:numPr>
        <w:shd w:val="clear" w:color="auto" w:fill="auto"/>
        <w:tabs>
          <w:tab w:val="clear" w:pos="708"/>
          <w:tab w:val="left" w:pos="284" w:leader="none"/>
          <w:tab w:val="left" w:pos="426" w:leader="none"/>
        </w:tabs>
        <w:spacing w:before="0" w:after="0"/>
        <w:ind w:hanging="0" w:left="0"/>
        <w:rPr>
          <w:rFonts w:ascii="Verdana" w:hAnsi="Verdana" w:cs="Arial"/>
          <w:szCs w:val="20"/>
        </w:rPr>
      </w:pPr>
      <w:r>
        <w:rPr>
          <w:rFonts w:cs="Arial" w:ascii="Verdana" w:hAnsi="Verdana"/>
          <w:szCs w:val="20"/>
        </w:rPr>
        <w:t xml:space="preserve">O objeto da presente dispensa é a escolha da proposta mais vantajosa para </w:t>
      </w:r>
      <w:bookmarkStart w:id="0" w:name="_Hlk158282862"/>
      <w:bookmarkStart w:id="1" w:name="_Hlk166752084"/>
      <w:bookmarkStart w:id="2" w:name="_Hlk175663352"/>
      <w:bookmarkStart w:id="3" w:name="_Hlk195627330"/>
      <w:r>
        <w:rPr>
          <w:rFonts w:ascii="Verdana" w:hAnsi="Verdana"/>
          <w:iCs/>
          <w:szCs w:val="20"/>
        </w:rPr>
        <w:t xml:space="preserve">Contratação de empresa especializada em </w:t>
      </w:r>
      <w:r>
        <w:rPr>
          <w:rFonts w:eastAsia="Arial" w:cs="Arial" w:ascii="Verdana" w:hAnsi="Verdana"/>
          <w:iCs/>
          <w:szCs w:val="20"/>
        </w:rPr>
        <w:t>assessoria junto ao Corpo de Bombeiros - Viabilidade de Incêndio</w:t>
      </w:r>
      <w:r>
        <w:rPr>
          <w:rFonts w:cs="Arial" w:ascii="Verdana" w:hAnsi="Verdana"/>
          <w:iCs/>
          <w:szCs w:val="20"/>
        </w:rPr>
        <w:t>, para atender as festividades alusivas ao 62° Aniversário de Emancipação Político Administrativa do Município de São Gabriel da Palha</w:t>
      </w:r>
      <w:bookmarkEnd w:id="3"/>
      <w:r>
        <w:rPr>
          <w:rFonts w:cs="Verdana" w:ascii="Verdana" w:hAnsi="Verdana"/>
          <w:szCs w:val="20"/>
        </w:rPr>
        <w:t xml:space="preserve">, </w:t>
      </w:r>
      <w:bookmarkEnd w:id="1"/>
      <w:bookmarkEnd w:id="2"/>
      <w:r>
        <w:rPr>
          <w:rFonts w:cs="Arial" w:ascii="Verdana" w:hAnsi="Verdana"/>
          <w:szCs w:val="20"/>
        </w:rPr>
        <w:t>conforme condições, quantidades e exigências estabelecidas neste Aviso de Contratação Direta e seus anexos.</w:t>
      </w:r>
      <w:bookmarkEnd w:id="0"/>
    </w:p>
    <w:tbl>
      <w:tblPr>
        <w:tblW w:w="9925" w:type="dxa"/>
        <w:jc w:val="left"/>
        <w:tblInd w:w="98" w:type="dxa"/>
        <w:tblLayout w:type="fixed"/>
        <w:tblCellMar>
          <w:top w:w="0" w:type="dxa"/>
          <w:left w:w="70" w:type="dxa"/>
          <w:bottom w:w="0" w:type="dxa"/>
          <w:right w:w="70" w:type="dxa"/>
        </w:tblCellMar>
        <w:tblLook w:firstRow="1" w:noVBand="1" w:lastRow="0" w:firstColumn="1" w:lastColumn="0" w:noHBand="0" w:val="04a0"/>
      </w:tblPr>
      <w:tblGrid>
        <w:gridCol w:w="713"/>
        <w:gridCol w:w="687"/>
        <w:gridCol w:w="8525"/>
      </w:tblGrid>
      <w:tr>
        <w:trPr>
          <w:trHeight w:val="269" w:hRule="atLeast"/>
        </w:trPr>
        <w:tc>
          <w:tcPr>
            <w:tcW w:w="7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0"/>
              <w:contextualSpacing/>
              <w:jc w:val="both"/>
              <w:rPr>
                <w:rFonts w:ascii="Verdana" w:hAnsi="Verdana"/>
                <w:szCs w:val="20"/>
              </w:rPr>
            </w:pPr>
            <w:r>
              <w:rPr>
                <w:rFonts w:cs="Arial" w:ascii="Verdana" w:hAnsi="Verdana"/>
                <w:b/>
                <w:bCs/>
                <w:szCs w:val="20"/>
              </w:rPr>
              <w:t>Qtd</w:t>
            </w:r>
          </w:p>
        </w:tc>
        <w:tc>
          <w:tcPr>
            <w:tcW w:w="6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0"/>
              <w:contextualSpacing/>
              <w:jc w:val="both"/>
              <w:rPr>
                <w:rFonts w:ascii="Verdana" w:hAnsi="Verdana"/>
                <w:szCs w:val="20"/>
              </w:rPr>
            </w:pPr>
            <w:r>
              <w:rPr>
                <w:rFonts w:cs="Arial" w:ascii="Verdana" w:hAnsi="Verdana"/>
                <w:b/>
                <w:bCs/>
                <w:szCs w:val="20"/>
              </w:rPr>
              <w:t>Und</w:t>
            </w:r>
          </w:p>
        </w:tc>
        <w:tc>
          <w:tcPr>
            <w:tcW w:w="85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0"/>
              <w:contextualSpacing/>
              <w:jc w:val="both"/>
              <w:rPr>
                <w:rFonts w:ascii="Verdana" w:hAnsi="Verdana"/>
                <w:szCs w:val="20"/>
              </w:rPr>
            </w:pPr>
            <w:r>
              <w:rPr>
                <w:rFonts w:cs="Arial" w:ascii="Verdana" w:hAnsi="Verdana"/>
                <w:b/>
                <w:bCs/>
                <w:szCs w:val="20"/>
              </w:rPr>
              <w:t>Descrição</w:t>
            </w:r>
          </w:p>
        </w:tc>
      </w:tr>
      <w:tr>
        <w:trPr>
          <w:trHeight w:val="269" w:hRule="atLeast"/>
        </w:trPr>
        <w:tc>
          <w:tcPr>
            <w:tcW w:w="7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0"/>
              <w:contextualSpacing/>
              <w:jc w:val="both"/>
              <w:rPr>
                <w:rFonts w:ascii="Verdana" w:hAnsi="Verdana"/>
                <w:szCs w:val="20"/>
              </w:rPr>
            </w:pPr>
            <w:r>
              <w:rPr>
                <w:rFonts w:cs="Arial" w:ascii="Verdana" w:hAnsi="Verdana"/>
                <w:szCs w:val="20"/>
              </w:rPr>
              <w:t>01</w:t>
            </w:r>
          </w:p>
        </w:tc>
        <w:tc>
          <w:tcPr>
            <w:tcW w:w="6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0"/>
              <w:contextualSpacing/>
              <w:jc w:val="both"/>
              <w:rPr>
                <w:rFonts w:ascii="Verdana" w:hAnsi="Verdana"/>
                <w:szCs w:val="20"/>
              </w:rPr>
            </w:pPr>
            <w:r>
              <w:rPr>
                <w:rFonts w:cs="Arial" w:ascii="Verdana" w:hAnsi="Verdana"/>
                <w:szCs w:val="20"/>
              </w:rPr>
              <w:t>Serv.</w:t>
            </w:r>
          </w:p>
        </w:tc>
        <w:tc>
          <w:tcPr>
            <w:tcW w:w="8525" w:type="dxa"/>
            <w:tcBorders>
              <w:top w:val="single" w:sz="4" w:space="0" w:color="000000"/>
              <w:left w:val="single" w:sz="4" w:space="0" w:color="000000"/>
              <w:bottom w:val="single" w:sz="4" w:space="0" w:color="000000"/>
              <w:right w:val="single" w:sz="4" w:space="0" w:color="000000"/>
            </w:tcBorders>
            <w:vAlign w:val="center"/>
          </w:tcPr>
          <w:p>
            <w:pPr>
              <w:pStyle w:val="ListParagraph"/>
              <w:tabs>
                <w:tab w:val="clear" w:pos="708"/>
                <w:tab w:val="left" w:pos="3390" w:leader="none"/>
                <w:tab w:val="center" w:pos="5032" w:leader="none"/>
              </w:tabs>
              <w:spacing w:lineRule="auto" w:line="276"/>
              <w:ind w:left="0"/>
              <w:jc w:val="both"/>
              <w:rPr>
                <w:rFonts w:ascii="Verdana" w:hAnsi="Verdana"/>
                <w:szCs w:val="20"/>
              </w:rPr>
            </w:pPr>
            <w:r>
              <w:rPr>
                <w:rFonts w:eastAsia="Arial" w:cs="Arial" w:ascii="Verdana" w:hAnsi="Verdana"/>
                <w:bCs/>
                <w:szCs w:val="20"/>
              </w:rPr>
              <w:t>Contratação de serviço de assessoria para</w:t>
            </w:r>
            <w:r>
              <w:rPr>
                <w:rFonts w:cs="Arial" w:ascii="Verdana" w:hAnsi="Verdana"/>
                <w:bCs/>
                <w:szCs w:val="20"/>
              </w:rPr>
              <w:t xml:space="preserve"> viabilidade de incêndio e emergência, fornecimento de materiais, caso necessário como: extintor, luminárias, placas e outros, para atender as festividades alusivas aos 62° Aniversário de Emancipação Político Administrativa do Município de São Gabriel da Palha, a realizar-se no dia 15 a 18 de maio de 2025</w:t>
            </w:r>
          </w:p>
        </w:tc>
      </w:tr>
    </w:tbl>
    <w:p>
      <w:pPr>
        <w:pStyle w:val="PADRO"/>
        <w:keepNext w:val="false"/>
        <w:widowControl/>
        <w:shd w:val="clear" w:color="auto" w:fill="auto"/>
        <w:tabs>
          <w:tab w:val="clear" w:pos="708"/>
          <w:tab w:val="left" w:pos="284" w:leader="none"/>
          <w:tab w:val="left" w:pos="426" w:leader="none"/>
        </w:tabs>
        <w:spacing w:before="0" w:after="0"/>
        <w:ind w:hanging="0"/>
        <w:rPr>
          <w:rFonts w:ascii="Verdana" w:hAnsi="Verdana" w:cs="Arial"/>
          <w:szCs w:val="20"/>
        </w:rPr>
      </w:pPr>
      <w:r>
        <w:rPr>
          <w:rFonts w:cs="Arial" w:ascii="Verdana" w:hAnsi="Verdana"/>
          <w:szCs w:val="20"/>
        </w:rPr>
      </w:r>
    </w:p>
    <w:p>
      <w:pPr>
        <w:pStyle w:val="PADRO"/>
        <w:keepNext w:val="false"/>
        <w:widowControl/>
        <w:numPr>
          <w:ilvl w:val="1"/>
          <w:numId w:val="1"/>
        </w:numPr>
        <w:shd w:val="clear" w:color="auto" w:fill="auto"/>
        <w:spacing w:before="0" w:after="0"/>
        <w:ind w:hanging="0" w:left="0"/>
        <w:rPr>
          <w:rFonts w:ascii="Verdana" w:hAnsi="Verdana" w:cs="Arial"/>
          <w:szCs w:val="20"/>
        </w:rPr>
      </w:pPr>
      <w:r>
        <w:rPr>
          <w:rFonts w:cs="Arial" w:ascii="Verdana" w:hAnsi="Verdana"/>
          <w:szCs w:val="20"/>
        </w:rPr>
        <w:t xml:space="preserve"> </w:t>
      </w:r>
      <w:r>
        <w:rPr>
          <w:rFonts w:cs="Arial" w:ascii="Verdana" w:hAnsi="Verdana"/>
          <w:szCs w:val="20"/>
        </w:rPr>
        <w:t>O critério de julgamento adotado será o</w:t>
      </w:r>
      <w:r>
        <w:rPr>
          <w:rFonts w:cs="Arial" w:ascii="Verdana" w:hAnsi="Verdana"/>
          <w:i/>
          <w:iCs/>
          <w:szCs w:val="20"/>
        </w:rPr>
        <w:t xml:space="preserve"> </w:t>
      </w:r>
      <w:r>
        <w:rPr>
          <w:rFonts w:cs="Arial" w:ascii="Verdana" w:hAnsi="Verdana"/>
          <w:b/>
          <w:bCs/>
          <w:i/>
          <w:szCs w:val="20"/>
        </w:rPr>
        <w:t>menor preço global</w:t>
      </w:r>
      <w:r>
        <w:rPr>
          <w:rFonts w:cs="Arial" w:ascii="Verdana" w:hAnsi="Verdana"/>
          <w:b/>
          <w:bCs/>
          <w:i/>
          <w:iCs/>
          <w:szCs w:val="20"/>
        </w:rPr>
        <w:t>,</w:t>
      </w:r>
      <w:r>
        <w:rPr>
          <w:rFonts w:cs="Arial" w:ascii="Verdana" w:hAnsi="Verdana"/>
          <w:szCs w:val="20"/>
        </w:rPr>
        <w:t xml:space="preserve"> observadas as exigências contidas neste Aviso de Contratação Direta e seus Anexos quanto às especificações do objeto</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PARTICIPAÇÃO NA DISPENSA ELETRÔNICA</w:t>
      </w:r>
    </w:p>
    <w:p>
      <w:pPr>
        <w:pStyle w:val="Normal"/>
        <w:numPr>
          <w:ilvl w:val="1"/>
          <w:numId w:val="1"/>
        </w:numPr>
        <w:snapToGrid w:val="false"/>
        <w:spacing w:lineRule="auto" w:line="276"/>
        <w:ind w:hanging="0" w:left="0"/>
        <w:jc w:val="both"/>
        <w:rPr>
          <w:rFonts w:ascii="Verdana" w:hAnsi="Verdana" w:cs="Arial"/>
          <w:szCs w:val="20"/>
        </w:rPr>
      </w:pPr>
      <w:r>
        <w:rPr>
          <w:rFonts w:eastAsia="Calibri" w:cs="ArialMT" w:ascii="Verdana" w:hAnsi="Verdana" w:eastAsiaTheme="minorHAnsi"/>
          <w:szCs w:val="20"/>
          <w:lang w:eastAsia="en-US"/>
        </w:rPr>
        <w:t>Os fornecedores deverão se cadastrar previamente no Portal de Compras Públicas para acesso ao sistema e operacionalização</w:t>
      </w:r>
    </w:p>
    <w:p>
      <w:pPr>
        <w:pStyle w:val="Normal"/>
        <w:numPr>
          <w:ilvl w:val="2"/>
          <w:numId w:val="1"/>
        </w:numPr>
        <w:snapToGrid w:val="false"/>
        <w:spacing w:lineRule="auto" w:line="276"/>
        <w:ind w:hanging="0" w:left="567"/>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ind w:hanging="0" w:left="567"/>
        <w:jc w:val="both"/>
        <w:rPr>
          <w:rFonts w:ascii="Verdana" w:hAnsi="Verdana" w:cs="Arial"/>
          <w:szCs w:val="20"/>
        </w:rPr>
      </w:pPr>
      <w:r>
        <w:rPr>
          <w:rFonts w:cs="Arial" w:ascii="Verdana" w:hAnsi="Verdana"/>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ind w:hanging="0" w:left="0"/>
        <w:jc w:val="both"/>
        <w:rPr>
          <w:rFonts w:ascii="Verdana" w:hAnsi="Verdana" w:cs="Arial"/>
          <w:szCs w:val="20"/>
        </w:rPr>
      </w:pPr>
      <w:r>
        <w:rPr>
          <w:rFonts w:eastAsia="Calibri" w:cs="ArialMT" w:ascii="Verdana" w:hAnsi="Verdana" w:eastAsiaTheme="minorHAnsi"/>
          <w:szCs w:val="20"/>
          <w:lang w:eastAsia="en-US"/>
        </w:rPr>
        <w:t>Além das vedações estabelecidas pelo art. 9º, §1º e §2º da Lei Federal Nº 14.133/21, não será permitido, conforme previsto no artigo 14 da mesma Lei, a participação de fornecedores:</w:t>
      </w:r>
    </w:p>
    <w:p>
      <w:pPr>
        <w:pStyle w:val="Normal"/>
        <w:numPr>
          <w:ilvl w:val="2"/>
          <w:numId w:val="1"/>
        </w:numPr>
        <w:spacing w:lineRule="auto" w:line="276"/>
        <w:ind w:firstLine="21" w:left="567"/>
        <w:jc w:val="both"/>
        <w:rPr>
          <w:rFonts w:ascii="Verdana" w:hAnsi="Verdana" w:cs="Arial"/>
          <w:szCs w:val="20"/>
        </w:rPr>
      </w:pPr>
      <w:r>
        <w:rPr>
          <w:rFonts w:cs="Arial" w:ascii="Verdana" w:hAnsi="Verdana"/>
          <w:szCs w:val="20"/>
        </w:rPr>
        <w:t>que não atendam às condições deste Aviso de Contratação Direta e seu(s) anexo(s);</w:t>
      </w:r>
    </w:p>
    <w:p>
      <w:pPr>
        <w:pStyle w:val="Normal"/>
        <w:numPr>
          <w:ilvl w:val="2"/>
          <w:numId w:val="1"/>
        </w:numPr>
        <w:spacing w:lineRule="auto" w:line="276"/>
        <w:ind w:hanging="0" w:left="567"/>
        <w:jc w:val="both"/>
        <w:rPr>
          <w:rFonts w:ascii="Verdana" w:hAnsi="Verdana" w:cs="Arial"/>
          <w:szCs w:val="20"/>
        </w:rPr>
      </w:pPr>
      <w:r>
        <w:rPr>
          <w:rFonts w:cs="Arial" w:ascii="Verdana" w:hAnsi="Verdana"/>
          <w:szCs w:val="20"/>
        </w:rPr>
        <w:t>estrangeiros que não tenham representação legal no Brasil com poderes expressos para receber citação e responder administrativa ou judicialmente;</w:t>
      </w:r>
    </w:p>
    <w:p>
      <w:pPr>
        <w:pStyle w:val="Normal"/>
        <w:numPr>
          <w:ilvl w:val="2"/>
          <w:numId w:val="1"/>
        </w:numPr>
        <w:spacing w:lineRule="auto" w:line="276"/>
        <w:ind w:hanging="0" w:left="567"/>
        <w:jc w:val="both"/>
        <w:rPr>
          <w:rFonts w:ascii="Verdana" w:hAnsi="Verdana" w:cs="Arial"/>
          <w:szCs w:val="20"/>
        </w:rPr>
      </w:pPr>
      <w:r>
        <w:rPr>
          <w:rFonts w:cs="Arial" w:ascii="Verdana" w:hAnsi="Verdana"/>
          <w:szCs w:val="20"/>
        </w:rPr>
        <w:t>organizações da Sociedade Civil de Interesse Público - OSCIP, atuando nessa condição (Acórdão nº 746/2014-TCU-Plenário); e</w:t>
      </w:r>
    </w:p>
    <w:p>
      <w:pPr>
        <w:pStyle w:val="Normal"/>
        <w:numPr>
          <w:ilvl w:val="2"/>
          <w:numId w:val="1"/>
        </w:numPr>
        <w:spacing w:lineRule="auto" w:line="276"/>
        <w:ind w:firstLine="630" w:left="-70"/>
        <w:jc w:val="both"/>
        <w:rPr>
          <w:rFonts w:ascii="Verdana" w:hAnsi="Verdana" w:cs="Arial"/>
          <w:szCs w:val="20"/>
        </w:rPr>
      </w:pPr>
      <w:r>
        <w:rPr>
          <w:rFonts w:cs="Arial" w:ascii="Verdana" w:hAnsi="Verdana"/>
          <w:szCs w:val="20"/>
        </w:rPr>
        <w:t>que se enquadrem nas seguintes vedações:</w:t>
      </w:r>
    </w:p>
    <w:p>
      <w:pPr>
        <w:pStyle w:val="ListParagraph"/>
        <w:numPr>
          <w:ilvl w:val="0"/>
          <w:numId w:val="4"/>
        </w:numPr>
        <w:spacing w:lineRule="auto" w:line="276"/>
        <w:jc w:val="both"/>
        <w:rPr>
          <w:rFonts w:ascii="Verdana" w:hAnsi="Verdana" w:cs="Arial"/>
          <w:szCs w:val="20"/>
        </w:rPr>
      </w:pPr>
      <w:r>
        <w:rPr>
          <w:rFonts w:cs="Arial" w:ascii="Verdana" w:hAnsi="Verdana"/>
          <w:szCs w:val="20"/>
        </w:rPr>
        <w:t>autor do anteprojeto, do projeto básico ou do projeto executivo, pessoa física ou jurídica, quando a contratação versar sobre obra, serviços ou fornecimento de bens a ele relacionados;</w:t>
      </w:r>
    </w:p>
    <w:p>
      <w:pPr>
        <w:pStyle w:val="ListParagraph"/>
        <w:numPr>
          <w:ilvl w:val="0"/>
          <w:numId w:val="4"/>
        </w:numPr>
        <w:spacing w:lineRule="auto" w:line="276"/>
        <w:jc w:val="both"/>
        <w:rPr>
          <w:rFonts w:ascii="Verdana" w:hAnsi="Verdana" w:cs="Arial"/>
          <w:szCs w:val="20"/>
        </w:rPr>
      </w:pPr>
      <w:r>
        <w:rPr>
          <w:rFonts w:cs="Arial" w:ascii="Verdana" w:hAnsi="Verdana"/>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ListParagraph"/>
        <w:numPr>
          <w:ilvl w:val="0"/>
          <w:numId w:val="4"/>
        </w:numPr>
        <w:spacing w:lineRule="auto" w:line="276"/>
        <w:jc w:val="both"/>
        <w:rPr>
          <w:rFonts w:ascii="Verdana" w:hAnsi="Verdana" w:cs="Arial"/>
          <w:szCs w:val="20"/>
        </w:rPr>
      </w:pPr>
      <w:r>
        <w:rPr>
          <w:rFonts w:cs="Arial" w:ascii="Verdana" w:hAnsi="Verdana"/>
          <w:szCs w:val="20"/>
        </w:rPr>
        <w:t>pessoa física ou jurídica que se encontre, ao tempo da contratação, impossibilitada de contratar em decorrência de sanção que lhe foi imposta;</w:t>
      </w:r>
    </w:p>
    <w:p>
      <w:pPr>
        <w:pStyle w:val="ListParagraph"/>
        <w:numPr>
          <w:ilvl w:val="0"/>
          <w:numId w:val="4"/>
        </w:numPr>
        <w:spacing w:lineRule="auto" w:line="276"/>
        <w:jc w:val="both"/>
        <w:rPr>
          <w:rFonts w:ascii="Verdana" w:hAnsi="Verdana" w:cs="Arial"/>
          <w:szCs w:val="20"/>
        </w:rPr>
      </w:pPr>
      <w:r>
        <w:rPr>
          <w:rFonts w:cs="Arial" w:ascii="Verdana" w:hAnsi="Verdana"/>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ListParagraph"/>
        <w:numPr>
          <w:ilvl w:val="0"/>
          <w:numId w:val="4"/>
        </w:numPr>
        <w:spacing w:lineRule="auto" w:line="276"/>
        <w:jc w:val="both"/>
        <w:rPr>
          <w:rFonts w:ascii="Verdana" w:hAnsi="Verdana" w:cs="Arial"/>
          <w:szCs w:val="20"/>
        </w:rPr>
      </w:pPr>
      <w:r>
        <w:rPr>
          <w:rFonts w:cs="Arial" w:ascii="Verdana" w:hAnsi="Verdana"/>
          <w:szCs w:val="20"/>
        </w:rPr>
        <w:t>empresas controladoras, controladas ou coligadas, nos termos da </w:t>
      </w:r>
      <w:hyperlink r:id="rId3">
        <w:r>
          <w:rPr>
            <w:rStyle w:val="Hyperlink"/>
            <w:rFonts w:eastAsia="Calibri" w:cs="Arial" w:ascii="Verdana" w:hAnsi="Verdana"/>
            <w:color w:val="auto"/>
            <w:szCs w:val="20"/>
          </w:rPr>
          <w:t>Lei nº 6.404, de 15 de dezembro de 1976</w:t>
        </w:r>
      </w:hyperlink>
      <w:r>
        <w:rPr>
          <w:rFonts w:cs="Arial" w:ascii="Verdana" w:hAnsi="Verdana"/>
          <w:szCs w:val="20"/>
        </w:rPr>
        <w:t>, concorrendo entre si;</w:t>
      </w:r>
    </w:p>
    <w:p>
      <w:pPr>
        <w:pStyle w:val="ListParagraph"/>
        <w:numPr>
          <w:ilvl w:val="0"/>
          <w:numId w:val="4"/>
        </w:numPr>
        <w:spacing w:lineRule="auto" w:line="276"/>
        <w:jc w:val="both"/>
        <w:rPr>
          <w:rFonts w:ascii="Verdana" w:hAnsi="Verdana" w:cs="Arial"/>
          <w:szCs w:val="20"/>
        </w:rPr>
      </w:pPr>
      <w:r>
        <w:rPr>
          <w:rFonts w:cs="Arial" w:ascii="Verdana" w:hAnsi="Verdana"/>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jc w:val="both"/>
        <w:rPr>
          <w:rFonts w:ascii="Verdana" w:hAnsi="Verdana" w:cs="Arial"/>
          <w:szCs w:val="20"/>
        </w:rPr>
      </w:pPr>
      <w:r>
        <w:rPr>
          <w:rFonts w:cs="Arial" w:ascii="Verdana" w:hAnsi="Verdana"/>
          <w:szCs w:val="20"/>
        </w:rPr>
        <w:t>Equiparam-se aos autores do projeto as empresas integrantes do mesmo grupo econômico;</w:t>
      </w:r>
    </w:p>
    <w:p>
      <w:pPr>
        <w:pStyle w:val="Normal"/>
        <w:numPr>
          <w:ilvl w:val="3"/>
          <w:numId w:val="1"/>
        </w:numPr>
        <w:spacing w:lineRule="auto" w:line="276"/>
        <w:jc w:val="both"/>
        <w:rPr>
          <w:rFonts w:ascii="Verdana" w:hAnsi="Verdana" w:cs="Arial"/>
          <w:szCs w:val="20"/>
        </w:rPr>
      </w:pPr>
      <w:r>
        <w:rPr>
          <w:rFonts w:cs="Arial" w:ascii="Verdana" w:hAnsi="Verdana"/>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spacing w:lineRule="auto" w:line="276"/>
        <w:ind w:left="658"/>
        <w:jc w:val="both"/>
        <w:rPr>
          <w:rFonts w:ascii="Verdana" w:hAnsi="Verdana"/>
        </w:rPr>
      </w:pPr>
      <w:r>
        <w:rPr>
          <w:rFonts w:cs="Arial" w:ascii="Verdana" w:hAnsi="Verdana"/>
          <w:b/>
          <w:bCs/>
          <w:szCs w:val="20"/>
        </w:rPr>
        <w:t xml:space="preserve">2.2.5 </w:t>
      </w:r>
      <w:r>
        <w:rPr>
          <w:rFonts w:ascii="Verdana" w:hAnsi="Verdana"/>
        </w:rPr>
        <w:t>Organizações da Sociedade Civil de Interesse Público - OSCIP, atuando nessa condição (Acórdão nº 746/2014-TCU-Plenário); e</w:t>
      </w:r>
    </w:p>
    <w:p>
      <w:pPr>
        <w:pStyle w:val="Normal"/>
        <w:spacing w:lineRule="auto" w:line="276"/>
        <w:jc w:val="both"/>
        <w:rPr>
          <w:rFonts w:ascii="Verdana" w:hAnsi="Verdana"/>
        </w:rPr>
      </w:pPr>
      <w:r>
        <w:rPr>
          <w:rFonts w:cs="Arial" w:ascii="Verdana" w:hAnsi="Verdana"/>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pPr>
        <w:pStyle w:val="Normal"/>
        <w:spacing w:lineRule="auto" w:line="276"/>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pPr>
        <w:pStyle w:val="Normal"/>
        <w:spacing w:lineRule="auto" w:line="276"/>
        <w:ind w:left="574"/>
        <w:jc w:val="both"/>
        <w:rPr>
          <w:rFonts w:ascii="Verdana" w:hAnsi="Verdana"/>
        </w:rPr>
      </w:pPr>
      <w:r>
        <w:rPr>
          <w:rFonts w:ascii="Verdana" w:hAnsi="Verdana"/>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INGRESSO NA DISPENSA ELETRÔNICA E CADASTRAMENTO DA PROPOSTA INICIAL</w:t>
      </w:r>
    </w:p>
    <w:p>
      <w:pPr>
        <w:pStyle w:val="Normal"/>
        <w:numPr>
          <w:ilvl w:val="1"/>
          <w:numId w:val="1"/>
        </w:numPr>
        <w:tabs>
          <w:tab w:val="clear" w:pos="708"/>
          <w:tab w:val="left" w:pos="567" w:leader="none"/>
        </w:tabs>
        <w:snapToGrid w:val="false"/>
        <w:spacing w:lineRule="auto" w:line="276"/>
        <w:ind w:hanging="0" w:left="0"/>
        <w:jc w:val="both"/>
        <w:rPr>
          <w:rFonts w:ascii="Verdana" w:hAnsi="Verdana" w:cs="Arial"/>
          <w:szCs w:val="20"/>
        </w:rPr>
      </w:pPr>
      <w:r>
        <w:rPr>
          <w:rFonts w:cs="Arial" w:ascii="Verdana" w:hAnsi="Verdana"/>
          <w:szCs w:val="20"/>
        </w:rPr>
        <w:t>O ingresso do fornecedor na disputa da dispensa eletrônica se dará com o cadastramento de sua proposta inicial, na forma deste item.</w:t>
      </w:r>
    </w:p>
    <w:p>
      <w:pPr>
        <w:pStyle w:val="Normal"/>
        <w:numPr>
          <w:ilvl w:val="1"/>
          <w:numId w:val="1"/>
        </w:numPr>
        <w:tabs>
          <w:tab w:val="clear" w:pos="708"/>
          <w:tab w:val="left" w:pos="567" w:leader="none"/>
        </w:tabs>
        <w:snapToGrid w:val="false"/>
        <w:spacing w:lineRule="auto" w:line="276"/>
        <w:ind w:hanging="0" w:left="0"/>
        <w:jc w:val="both"/>
        <w:rPr>
          <w:rFonts w:ascii="Verdana" w:hAnsi="Verdana" w:cs="Arial"/>
          <w:szCs w:val="20"/>
        </w:rPr>
      </w:pPr>
      <w:r>
        <w:rPr>
          <w:rFonts w:cs="Arial" w:ascii="Verdana" w:hAnsi="Verdana"/>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tabs>
          <w:tab w:val="clear" w:pos="708"/>
          <w:tab w:val="left" w:pos="567" w:leader="none"/>
        </w:tabs>
        <w:snapToGrid w:val="false"/>
        <w:spacing w:lineRule="auto" w:line="276"/>
        <w:ind w:left="560"/>
        <w:jc w:val="both"/>
        <w:rPr>
          <w:rFonts w:ascii="Verdana" w:hAnsi="Verdana" w:cs="Arial"/>
          <w:szCs w:val="20"/>
        </w:rPr>
      </w:pPr>
      <w:r>
        <w:rPr>
          <w:rFonts w:cs="Arial" w:ascii="Verdana" w:hAnsi="Verdana"/>
          <w:b/>
          <w:bCs/>
          <w:szCs w:val="20"/>
        </w:rPr>
        <w:t>3.2.1.</w:t>
      </w:r>
      <w:r>
        <w:rPr>
          <w:rFonts w:cs="Arial" w:ascii="Verdana" w:hAnsi="Verdana"/>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tabs>
          <w:tab w:val="clear" w:pos="708"/>
          <w:tab w:val="left" w:pos="567" w:leader="none"/>
        </w:tabs>
        <w:snapToGrid w:val="false"/>
        <w:spacing w:lineRule="auto" w:line="276"/>
        <w:ind w:hanging="0" w:left="0"/>
        <w:jc w:val="both"/>
        <w:rPr>
          <w:rFonts w:ascii="Verdana" w:hAnsi="Verdana" w:cs="Arial"/>
          <w:szCs w:val="20"/>
        </w:rPr>
      </w:pPr>
      <w:r>
        <w:rPr>
          <w:rFonts w:cs="Arial" w:ascii="Verdana" w:hAnsi="Verdana"/>
          <w:szCs w:val="20"/>
        </w:rPr>
        <w:t>Todas as especificações do objeto contidas na proposta, em especial o preço, vinculam a Contratada.</w:t>
      </w:r>
    </w:p>
    <w:p>
      <w:pPr>
        <w:pStyle w:val="Normal"/>
        <w:numPr>
          <w:ilvl w:val="1"/>
          <w:numId w:val="1"/>
        </w:numPr>
        <w:tabs>
          <w:tab w:val="clear" w:pos="708"/>
          <w:tab w:val="left" w:pos="567" w:leader="none"/>
        </w:tabs>
        <w:snapToGrid w:val="false"/>
        <w:spacing w:lineRule="auto" w:line="276"/>
        <w:ind w:hanging="0" w:left="0"/>
        <w:jc w:val="both"/>
        <w:rPr>
          <w:rFonts w:ascii="Verdana" w:hAnsi="Verdana" w:cs="Arial"/>
          <w:szCs w:val="20"/>
        </w:rPr>
      </w:pPr>
      <w:r>
        <w:rPr>
          <w:rFonts w:cs="Arial" w:ascii="Verdana" w:hAnsi="Verdana"/>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tabs>
          <w:tab w:val="clear" w:pos="708"/>
          <w:tab w:val="left" w:pos="1560" w:leader="none"/>
        </w:tabs>
        <w:spacing w:lineRule="auto" w:line="276"/>
        <w:ind w:hanging="0" w:left="851"/>
        <w:jc w:val="both"/>
        <w:rPr>
          <w:rFonts w:ascii="Verdana" w:hAnsi="Verdana" w:cs="Arial"/>
          <w:szCs w:val="20"/>
        </w:rPr>
      </w:pPr>
      <w:r>
        <w:rPr>
          <w:rFonts w:cs="Arial" w:ascii="Verdana" w:hAnsi="Verdana"/>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Independentemente do percentual de tributo inserido na planilha, no pagamento serão retidos na fonte os percentuais estabelecidos na legislação vigente.</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cs="Arial" w:ascii="Verdana" w:hAnsi="Verdana"/>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 xml:space="preserve">Uma vez enviada a proposta no sistema, os fornecedores </w:t>
      </w:r>
      <w:r>
        <w:rPr>
          <w:rFonts w:cs="Arial" w:ascii="Verdana" w:hAnsi="Verdana"/>
          <w:b/>
          <w:bCs/>
          <w:szCs w:val="20"/>
        </w:rPr>
        <w:t>NÃO</w:t>
      </w:r>
      <w:r>
        <w:rPr>
          <w:rFonts w:cs="Arial" w:ascii="Verdana" w:hAnsi="Verdana"/>
          <w:szCs w:val="20"/>
        </w:rPr>
        <w:t xml:space="preserve"> poderão retirá-la, substituí-la ou modificá-la;</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No cadastramento da proposta inicial, o fornecedor deverá, também, assinalar “sim” ou “não” em campo próprio do sistema eletrônico, às seguintes declarações:</w:t>
      </w:r>
      <w:r>
        <w:rPr>
          <w:rFonts w:eastAsia="Zurich BT" w:cs="Arial" w:ascii="Verdana" w:hAnsi="Verdana"/>
          <w:szCs w:val="20"/>
        </w:rPr>
        <w:t xml:space="preserve"> </w:t>
      </w:r>
    </w:p>
    <w:p>
      <w:pPr>
        <w:pStyle w:val="ListParagraph"/>
        <w:numPr>
          <w:ilvl w:val="0"/>
          <w:numId w:val="2"/>
        </w:numPr>
        <w:tabs>
          <w:tab w:val="clear" w:pos="708"/>
          <w:tab w:val="left" w:pos="1440" w:leader="none"/>
        </w:tabs>
        <w:snapToGrid w:val="false"/>
        <w:spacing w:lineRule="auto" w:line="276"/>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jc w:val="both"/>
        <w:rPr>
          <w:rFonts w:ascii="Verdana" w:hAnsi="Verdana" w:cs="Arial"/>
          <w:bCs/>
          <w:vanish/>
          <w:szCs w:val="20"/>
        </w:rPr>
      </w:pPr>
      <w:r>
        <w:rPr>
          <w:rFonts w:cs="Arial" w:ascii="Verdana" w:hAnsi="Verdana"/>
          <w:bCs/>
          <w:vanish/>
          <w:szCs w:val="20"/>
        </w:rPr>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inexistem fatos impeditivos para sua habilitação no certame, ciente da obrigatoriedade de declarar ocorrências posteriores;</w:t>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cumpre os requisitos estabelecidos no artigo 3° da Lei Complementar nº 123, de 2006, estando apto a usufruir do tratamento favorecido estabelecido em seus arts. 42 a 49.</w:t>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está ciente e concorda com as condições contidas no Aviso de Contratação Direta e seus anexos;</w:t>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assume a responsabilidade pelas transações que forem efetuadas no sistema, assumindo como firmes e verdadeiras;</w:t>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cumpre as exigências de reserva de cargos para pessoa com deficiência e para reabilitado da Previdência Social, de que trata o art. 93 da Lei nº 8.213/91.</w:t>
      </w:r>
    </w:p>
    <w:p>
      <w:pPr>
        <w:pStyle w:val="Normal"/>
        <w:numPr>
          <w:ilvl w:val="2"/>
          <w:numId w:val="1"/>
        </w:numPr>
        <w:tabs>
          <w:tab w:val="clear" w:pos="708"/>
          <w:tab w:val="left" w:pos="1582" w:leader="none"/>
        </w:tabs>
        <w:spacing w:lineRule="auto" w:line="276"/>
        <w:jc w:val="both"/>
        <w:rPr>
          <w:rFonts w:ascii="Verdana" w:hAnsi="Verdana" w:cs="Arial"/>
          <w:szCs w:val="20"/>
        </w:rPr>
      </w:pPr>
      <w:r>
        <w:rPr>
          <w:rFonts w:cs="Arial" w:ascii="Verdana" w:hAnsi="Verdana"/>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FASE DE LANCES</w:t>
      </w:r>
    </w:p>
    <w:p>
      <w:pPr>
        <w:pStyle w:val="ListParagraph"/>
        <w:numPr>
          <w:ilvl w:val="1"/>
          <w:numId w:val="1"/>
        </w:numPr>
        <w:tabs>
          <w:tab w:val="clear" w:pos="708"/>
          <w:tab w:val="left" w:pos="490" w:leader="none"/>
        </w:tabs>
        <w:spacing w:lineRule="auto" w:line="276"/>
        <w:ind w:hanging="0" w:left="0"/>
        <w:jc w:val="both"/>
        <w:rPr>
          <w:rFonts w:ascii="Verdana" w:hAnsi="Verdana" w:cs="Arial"/>
          <w:szCs w:val="20"/>
          <w:lang w:eastAsia="en-US"/>
        </w:rPr>
      </w:pPr>
      <w:r>
        <w:rPr>
          <w:rFonts w:cs="Arial" w:ascii="Verdana" w:hAnsi="Verdana"/>
          <w:szCs w:val="20"/>
          <w:lang w:eastAsia="en-US"/>
        </w:rPr>
        <w:t xml:space="preserve">A partir da data e horário estabelecidos neste Aviso de Contratação Direta, a sessão pública será automaticamente aberta pelo sistema para o envio de lances públicos e sucessivos, </w:t>
      </w:r>
      <w:r>
        <w:rPr>
          <w:rFonts w:cs="Arial" w:ascii="Verdana" w:hAnsi="Verdana"/>
          <w:bCs/>
          <w:szCs w:val="20"/>
          <w:lang w:eastAsia="en-US"/>
        </w:rPr>
        <w:t>exclusivamente por meio do sistema eletrônico</w:t>
      </w:r>
      <w:r>
        <w:rPr>
          <w:rFonts w:cs="Arial" w:ascii="Verdana" w:hAnsi="Verdana"/>
          <w:szCs w:val="20"/>
          <w:lang w:eastAsia="en-US"/>
        </w:rPr>
        <w:t>, sendo encerrado no horário de finalização de lances também já previsto neste aviso.</w:t>
      </w:r>
    </w:p>
    <w:p>
      <w:pPr>
        <w:pStyle w:val="ListParagraph"/>
        <w:numPr>
          <w:ilvl w:val="1"/>
          <w:numId w:val="1"/>
        </w:numPr>
        <w:tabs>
          <w:tab w:val="clear" w:pos="708"/>
          <w:tab w:val="left" w:pos="490" w:leader="none"/>
        </w:tabs>
        <w:spacing w:lineRule="auto" w:line="276"/>
        <w:ind w:hanging="0" w:left="0"/>
        <w:jc w:val="both"/>
        <w:rPr>
          <w:rFonts w:ascii="Verdana" w:hAnsi="Verdana" w:cs="Arial"/>
          <w:szCs w:val="20"/>
          <w:lang w:eastAsia="en-US"/>
        </w:rPr>
      </w:pPr>
      <w:r>
        <w:rPr>
          <w:rFonts w:cs="Arial" w:ascii="Verdana" w:hAnsi="Verdana"/>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jc w:val="both"/>
        <w:rPr>
          <w:rFonts w:ascii="Verdana" w:hAnsi="Verdana" w:cs="Arial"/>
          <w:b/>
          <w:bCs/>
          <w:szCs w:val="20"/>
          <w:lang w:eastAsia="en-US"/>
        </w:rPr>
      </w:pPr>
      <w:r>
        <w:rPr>
          <w:rFonts w:cs="Arial" w:ascii="Verdana" w:hAnsi="Verdana"/>
          <w:i/>
          <w:iCs/>
          <w:szCs w:val="20"/>
        </w:rPr>
        <w:t xml:space="preserve"> </w:t>
      </w:r>
      <w:r>
        <w:rPr>
          <w:rFonts w:cs="Arial" w:ascii="Verdana" w:hAnsi="Verdana"/>
          <w:b/>
          <w:bCs/>
          <w:szCs w:val="20"/>
        </w:rPr>
        <w:t>O lance deverá ser ofertado pelo valor unitário.</w:t>
      </w:r>
    </w:p>
    <w:p>
      <w:pPr>
        <w:pStyle w:val="ListParagraph"/>
        <w:numPr>
          <w:ilvl w:val="1"/>
          <w:numId w:val="1"/>
        </w:numPr>
        <w:tabs>
          <w:tab w:val="clear" w:pos="708"/>
          <w:tab w:val="left" w:pos="490" w:leader="none"/>
        </w:tabs>
        <w:spacing w:lineRule="auto" w:line="276"/>
        <w:ind w:hanging="0" w:left="0"/>
        <w:jc w:val="both"/>
        <w:rPr>
          <w:rFonts w:ascii="Verdana" w:hAnsi="Verdana" w:cs="Arial"/>
          <w:szCs w:val="20"/>
          <w:lang w:eastAsia="en-US"/>
        </w:rPr>
      </w:pPr>
      <w:r>
        <w:rPr>
          <w:rFonts w:cs="Arial" w:ascii="Verdana" w:hAnsi="Verdana"/>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jc w:val="both"/>
        <w:rPr>
          <w:rFonts w:ascii="Verdana" w:hAnsi="Verdana" w:cs="Arial"/>
          <w:szCs w:val="20"/>
          <w:lang w:eastAsia="en-US"/>
        </w:rPr>
      </w:pPr>
      <w:r>
        <w:rPr>
          <w:rFonts w:cs="Arial" w:ascii="Verdana" w:hAnsi="Verdana"/>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pPr>
        <w:pStyle w:val="ListParagraph"/>
        <w:numPr>
          <w:ilvl w:val="1"/>
          <w:numId w:val="1"/>
        </w:numPr>
        <w:tabs>
          <w:tab w:val="clear" w:pos="708"/>
          <w:tab w:val="left" w:pos="532" w:leader="none"/>
        </w:tabs>
        <w:spacing w:lineRule="auto" w:line="276"/>
        <w:ind w:hanging="0" w:left="0"/>
        <w:jc w:val="both"/>
        <w:rPr>
          <w:rFonts w:ascii="Verdana" w:hAnsi="Verdana" w:cs="Arial"/>
          <w:szCs w:val="20"/>
          <w:lang w:eastAsia="en-US"/>
        </w:rPr>
      </w:pPr>
      <w:r>
        <w:rPr>
          <w:rFonts w:cs="Arial" w:ascii="Verdana" w:hAnsi="Verdana"/>
          <w:szCs w:val="20"/>
          <w:lang w:eastAsia="en-US"/>
        </w:rPr>
        <w:t>Havendo lances iguais ao menor já ofertado, prevalecerá aquele que for recebido e registrado primeiro no sistema.</w:t>
      </w:r>
    </w:p>
    <w:p>
      <w:pPr>
        <w:pStyle w:val="ListParagraph"/>
        <w:numPr>
          <w:ilvl w:val="1"/>
          <w:numId w:val="1"/>
        </w:numPr>
        <w:tabs>
          <w:tab w:val="clear" w:pos="708"/>
          <w:tab w:val="left" w:pos="532" w:leader="none"/>
        </w:tabs>
        <w:spacing w:lineRule="auto" w:line="276"/>
        <w:ind w:hanging="0" w:left="0"/>
        <w:jc w:val="both"/>
        <w:rPr>
          <w:rFonts w:ascii="Verdana" w:hAnsi="Verdana" w:cs="Arial"/>
          <w:szCs w:val="20"/>
          <w:lang w:eastAsia="en-US"/>
        </w:rPr>
      </w:pPr>
      <w:r>
        <w:rPr>
          <w:rFonts w:cs="Arial" w:ascii="Verdana" w:hAnsi="Verdana"/>
          <w:szCs w:val="20"/>
          <w:lang w:eastAsia="en-US"/>
        </w:rPr>
        <w:t>Caso o fornecedor não apresente lances, concorrerá com o valor de sua proposta.</w:t>
      </w:r>
    </w:p>
    <w:p>
      <w:pPr>
        <w:pStyle w:val="ListParagraph"/>
        <w:numPr>
          <w:ilvl w:val="1"/>
          <w:numId w:val="1"/>
        </w:numPr>
        <w:tabs>
          <w:tab w:val="clear" w:pos="708"/>
          <w:tab w:val="left" w:pos="532" w:leader="none"/>
        </w:tabs>
        <w:spacing w:lineRule="auto" w:line="276"/>
        <w:ind w:hanging="0" w:left="0"/>
        <w:jc w:val="both"/>
        <w:rPr>
          <w:rFonts w:ascii="Verdana" w:hAnsi="Verdana" w:cs="Arial"/>
          <w:szCs w:val="20"/>
          <w:lang w:eastAsia="en-US"/>
        </w:rPr>
      </w:pPr>
      <w:r>
        <w:rPr>
          <w:rFonts w:cs="Arial" w:ascii="Verdana" w:hAnsi="Verdana"/>
          <w:szCs w:val="20"/>
          <w:lang w:eastAsia="en-US"/>
        </w:rPr>
        <w:t>Durante o procedimento, os fornecedores serão informados, em tempo real, do valor do menor lance registrado, vedada a identificação do fornecedor.</w:t>
      </w:r>
    </w:p>
    <w:p>
      <w:pPr>
        <w:pStyle w:val="ListParagraph"/>
        <w:numPr>
          <w:ilvl w:val="1"/>
          <w:numId w:val="1"/>
        </w:numPr>
        <w:tabs>
          <w:tab w:val="clear" w:pos="708"/>
          <w:tab w:val="left" w:pos="532" w:leader="none"/>
        </w:tabs>
        <w:spacing w:lineRule="auto" w:line="276"/>
        <w:ind w:hanging="0" w:left="0"/>
        <w:jc w:val="both"/>
        <w:rPr>
          <w:rFonts w:ascii="Verdana" w:hAnsi="Verdana" w:cs="Arial"/>
          <w:szCs w:val="20"/>
          <w:lang w:eastAsia="en-US"/>
        </w:rPr>
      </w:pPr>
      <w:r>
        <w:rPr>
          <w:rFonts w:cs="Arial" w:ascii="Verdana" w:hAnsi="Verdana"/>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jc w:val="both"/>
        <w:rPr>
          <w:rFonts w:ascii="Verdana" w:hAnsi="Verdana" w:cs="Arial"/>
          <w:szCs w:val="20"/>
        </w:rPr>
      </w:pPr>
      <w:r>
        <w:rPr>
          <w:rFonts w:cs="Arial" w:ascii="Verdana" w:hAnsi="Verdana"/>
          <w:szCs w:val="20"/>
          <w:lang w:eastAsia="en-US"/>
        </w:rPr>
        <w:t>O encerramento da fase de lances ocorrerá de forma automática pontualmente no horário indicado, sem qualquer possibilidade de prorrogação e não havendo tempo aleatório ou mecanismo similar.</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JULGAMENTO DAS PROPOSTAS DE PREÇO</w:t>
      </w:r>
    </w:p>
    <w:p>
      <w:pPr>
        <w:pStyle w:val="ListParagraph"/>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No caso de o preço da proposta vencedora estar acima do estimado pela Administração, poderá haver a negociação de condições mais vantajosas.</w:t>
      </w:r>
    </w:p>
    <w:p>
      <w:pPr>
        <w:pStyle w:val="ListParagraph"/>
        <w:numPr>
          <w:ilvl w:val="2"/>
          <w:numId w:val="1"/>
        </w:numPr>
        <w:spacing w:lineRule="auto" w:line="276"/>
        <w:jc w:val="both"/>
        <w:rPr>
          <w:rFonts w:ascii="Verdana" w:hAnsi="Verdana" w:cs="Arial"/>
          <w:szCs w:val="20"/>
        </w:rPr>
      </w:pPr>
      <w:r>
        <w:rPr>
          <w:rFonts w:cs="Arial" w:ascii="Verdana" w:hAnsi="Verdana"/>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jc w:val="both"/>
        <w:rPr>
          <w:rFonts w:ascii="Verdana" w:hAnsi="Verdana" w:cs="Arial"/>
          <w:szCs w:val="20"/>
        </w:rPr>
      </w:pPr>
      <w:r>
        <w:rPr>
          <w:rFonts w:cs="Arial" w:ascii="Verdana" w:hAnsi="Verdana"/>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jc w:val="both"/>
        <w:rPr>
          <w:rFonts w:ascii="Verdana" w:hAnsi="Verdana" w:cs="Arial"/>
          <w:szCs w:val="20"/>
        </w:rPr>
      </w:pPr>
      <w:r>
        <w:rPr>
          <w:rFonts w:cs="Arial" w:ascii="Verdana" w:hAnsi="Verdana"/>
          <w:szCs w:val="20"/>
        </w:rPr>
        <w:t>Em qualquer caso, concluída a negociação, o resultado será registrado na ata do procedimento da dispensa eletrônica.</w:t>
      </w:r>
    </w:p>
    <w:p>
      <w:pPr>
        <w:pStyle w:val="ListParagraph"/>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Estando o preço compatível, será solicitado o envio da proposta e, se necessário, de documentos complementares, adequada ao último lance.</w:t>
      </w:r>
    </w:p>
    <w:p>
      <w:pPr>
        <w:pStyle w:val="ListParagraph"/>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 xml:space="preserve">O prazo de validade da proposta não será inferior a </w:t>
      </w:r>
      <w:r>
        <w:rPr>
          <w:rFonts w:cs="Arial" w:ascii="Verdana" w:hAnsi="Verdana"/>
          <w:b/>
          <w:bCs/>
          <w:szCs w:val="20"/>
        </w:rPr>
        <w:t>60 (sessenta) dias,</w:t>
      </w:r>
      <w:r>
        <w:rPr>
          <w:rFonts w:cs="Arial" w:ascii="Verdana" w:hAnsi="Verdana"/>
          <w:szCs w:val="20"/>
        </w:rPr>
        <w:t xml:space="preserve"> a contar da data de sua apresentação.</w:t>
      </w:r>
    </w:p>
    <w:p>
      <w:pPr>
        <w:pStyle w:val="ListParagraph"/>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lang w:eastAsia="en-US"/>
        </w:rPr>
        <w:t xml:space="preserve">Será desclassificada a proposta vencedora que: </w:t>
      </w:r>
    </w:p>
    <w:p>
      <w:pPr>
        <w:pStyle w:val="ListParagraph"/>
        <w:numPr>
          <w:ilvl w:val="2"/>
          <w:numId w:val="1"/>
        </w:numPr>
        <w:spacing w:lineRule="auto" w:line="276"/>
        <w:jc w:val="both"/>
        <w:rPr>
          <w:rFonts w:ascii="Verdana" w:hAnsi="Verdana" w:cs="Arial"/>
          <w:i/>
          <w:i/>
          <w:iCs/>
          <w:szCs w:val="20"/>
          <w:u w:val="single"/>
        </w:rPr>
      </w:pPr>
      <w:r>
        <w:rPr>
          <w:rFonts w:ascii="Verdana" w:hAnsi="Verdana"/>
          <w:i/>
          <w:iCs/>
          <w:highlight w:val="yellow"/>
          <w:u w:val="single"/>
        </w:rPr>
        <w:t>Apresentar preços unitários ou globais acima dos valores estabelecidos como de referência máxima.</w:t>
      </w:r>
    </w:p>
    <w:p>
      <w:pPr>
        <w:pStyle w:val="ListParagraph"/>
        <w:numPr>
          <w:ilvl w:val="2"/>
          <w:numId w:val="1"/>
        </w:numPr>
        <w:spacing w:lineRule="auto" w:line="276"/>
        <w:jc w:val="both"/>
        <w:rPr>
          <w:rFonts w:ascii="Verdana" w:hAnsi="Verdana" w:cs="Arial"/>
          <w:i/>
          <w:i/>
          <w:szCs w:val="20"/>
        </w:rPr>
      </w:pPr>
      <w:r>
        <w:rPr>
          <w:rFonts w:cs="Arial" w:ascii="Verdana" w:hAnsi="Verdana"/>
          <w:szCs w:val="20"/>
        </w:rPr>
        <w:t>contiver vícios insanáveis</w:t>
      </w:r>
      <w:r>
        <w:rPr>
          <w:rFonts w:cs="Arial" w:ascii="Verdana" w:hAnsi="Verdana"/>
          <w:iCs/>
          <w:szCs w:val="20"/>
        </w:rPr>
        <w:t>;</w:t>
      </w:r>
    </w:p>
    <w:p>
      <w:pPr>
        <w:pStyle w:val="ListParagraph"/>
        <w:numPr>
          <w:ilvl w:val="2"/>
          <w:numId w:val="1"/>
        </w:numPr>
        <w:spacing w:lineRule="auto" w:line="276"/>
        <w:jc w:val="both"/>
        <w:rPr>
          <w:rFonts w:ascii="Verdana" w:hAnsi="Verdana" w:cs="Arial"/>
          <w:i/>
          <w:i/>
          <w:szCs w:val="20"/>
        </w:rPr>
      </w:pPr>
      <w:r>
        <w:rPr>
          <w:rFonts w:cs="Arial" w:ascii="Verdana" w:hAnsi="Verdana"/>
          <w:szCs w:val="20"/>
        </w:rPr>
        <w:t>não obedecer às especificações técnicas pormenorizadas neste aviso ou em seus anexos</w:t>
      </w:r>
      <w:r>
        <w:rPr>
          <w:rFonts w:cs="Arial" w:ascii="Verdana" w:hAnsi="Verdana"/>
          <w:iCs/>
          <w:szCs w:val="20"/>
        </w:rPr>
        <w:t>;</w:t>
      </w:r>
    </w:p>
    <w:p>
      <w:pPr>
        <w:pStyle w:val="ListParagraph"/>
        <w:numPr>
          <w:ilvl w:val="2"/>
          <w:numId w:val="1"/>
        </w:numPr>
        <w:spacing w:lineRule="auto" w:line="276"/>
        <w:jc w:val="both"/>
        <w:rPr>
          <w:rFonts w:ascii="Verdana" w:hAnsi="Verdana" w:cs="Arial"/>
          <w:i/>
          <w:i/>
          <w:szCs w:val="20"/>
        </w:rPr>
      </w:pPr>
      <w:r>
        <w:rPr>
          <w:rFonts w:cs="Arial" w:ascii="Verdana" w:hAnsi="Verdana"/>
          <w:szCs w:val="20"/>
        </w:rPr>
        <w:t>apresentar preços inexequíveis ou permanecerem acima do preço máximo definido para a contratação;</w:t>
      </w:r>
    </w:p>
    <w:p>
      <w:pPr>
        <w:pStyle w:val="ListParagraph"/>
        <w:numPr>
          <w:ilvl w:val="2"/>
          <w:numId w:val="1"/>
        </w:numPr>
        <w:spacing w:lineRule="auto" w:line="276"/>
        <w:jc w:val="both"/>
        <w:rPr>
          <w:rFonts w:ascii="Verdana" w:hAnsi="Verdana" w:cs="Arial"/>
          <w:i/>
          <w:i/>
          <w:szCs w:val="20"/>
        </w:rPr>
      </w:pPr>
      <w:r>
        <w:rPr>
          <w:rFonts w:cs="Arial" w:ascii="Verdana" w:hAnsi="Verdana"/>
          <w:szCs w:val="20"/>
        </w:rPr>
        <w:t>não tiverem sua exequibilidade demonstrada, quando exigido pela Administração</w:t>
      </w:r>
      <w:r>
        <w:rPr>
          <w:rFonts w:cs="Arial" w:ascii="Verdana" w:hAnsi="Verdana"/>
          <w:iCs/>
          <w:szCs w:val="20"/>
        </w:rPr>
        <w:t>;</w:t>
      </w:r>
    </w:p>
    <w:p>
      <w:pPr>
        <w:pStyle w:val="ListParagraph"/>
        <w:numPr>
          <w:ilvl w:val="2"/>
          <w:numId w:val="1"/>
        </w:numPr>
        <w:spacing w:lineRule="auto" w:line="276"/>
        <w:jc w:val="both"/>
        <w:rPr>
          <w:rFonts w:ascii="Verdana" w:hAnsi="Verdana" w:cs="Arial"/>
          <w:i/>
          <w:i/>
          <w:szCs w:val="20"/>
        </w:rPr>
      </w:pPr>
      <w:r>
        <w:rPr>
          <w:rFonts w:cs="Arial" w:ascii="Verdana" w:hAnsi="Verdana"/>
          <w:szCs w:val="20"/>
        </w:rPr>
        <w:t>apresentar desconformidade com quaisquer outras exigências deste aviso ou seus anexos, desde que insanável.</w:t>
      </w:r>
    </w:p>
    <w:p>
      <w:pPr>
        <w:pStyle w:val="ListParagraph"/>
        <w:numPr>
          <w:ilvl w:val="1"/>
          <w:numId w:val="1"/>
        </w:numPr>
        <w:tabs>
          <w:tab w:val="clear" w:pos="708"/>
          <w:tab w:val="left" w:pos="532" w:leader="none"/>
        </w:tabs>
        <w:spacing w:lineRule="auto" w:line="276"/>
        <w:ind w:hanging="0" w:left="0"/>
        <w:jc w:val="both"/>
        <w:rPr>
          <w:rFonts w:ascii="Verdana" w:hAnsi="Verdana" w:cs="Arial"/>
          <w:i/>
          <w:i/>
          <w:szCs w:val="20"/>
        </w:rPr>
      </w:pPr>
      <w:r>
        <w:rPr>
          <w:rFonts w:cs="Arial" w:ascii="Verdana" w:hAnsi="Verdana"/>
          <w:szCs w:val="20"/>
          <w:lang w:eastAsia="en-US"/>
        </w:rPr>
        <w:t>Quando</w:t>
      </w:r>
      <w:r>
        <w:rPr>
          <w:rFonts w:cs="Arial" w:ascii="Verdana" w:hAnsi="Verdana"/>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jc w:val="both"/>
        <w:rPr>
          <w:rFonts w:ascii="Verdana" w:hAnsi="Verdana" w:cs="Arial"/>
          <w:i/>
          <w:i/>
          <w:szCs w:val="20"/>
        </w:rPr>
      </w:pPr>
      <w:r>
        <w:rPr>
          <w:rFonts w:cs="Arial" w:ascii="Verdana" w:hAnsi="Verdana"/>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jc w:val="both"/>
        <w:rPr>
          <w:rFonts w:ascii="Verdana" w:hAnsi="Verdana" w:cs="Arial"/>
          <w:i/>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tabs>
          <w:tab w:val="clear" w:pos="708"/>
          <w:tab w:val="left" w:pos="560" w:leader="none"/>
        </w:tabs>
        <w:spacing w:lineRule="auto" w:line="276"/>
        <w:ind w:hanging="0" w:left="0" w:right="-15"/>
        <w:jc w:val="both"/>
        <w:rPr>
          <w:rFonts w:ascii="Verdana" w:hAnsi="Verdana" w:cs="Arial"/>
          <w:szCs w:val="20"/>
          <w:lang w:eastAsia="en-US"/>
        </w:rPr>
      </w:pPr>
      <w:r>
        <w:rPr>
          <w:rFonts w:cs="Arial" w:ascii="Verdana" w:hAnsi="Verdana"/>
          <w:szCs w:val="20"/>
          <w:lang w:eastAsia="en-US"/>
        </w:rPr>
        <w:t xml:space="preserve">Se houver indícios de inexequibilidade da proposta de preço, ou em caso da necessidade de esclarecimentos </w:t>
      </w:r>
      <w:r>
        <w:rPr>
          <w:rFonts w:cs="Arial" w:ascii="Verdana" w:hAnsi="Verdana"/>
          <w:szCs w:val="20"/>
        </w:rPr>
        <w:t>complementares</w:t>
      </w:r>
      <w:r>
        <w:rPr>
          <w:rFonts w:cs="Arial" w:ascii="Verdana" w:hAnsi="Verdana"/>
          <w:szCs w:val="20"/>
          <w:lang w:eastAsia="en-US"/>
        </w:rPr>
        <w:t xml:space="preserve">, poderão ser efetuadas diligências, para que a empresa comprove a exequibilidade da proposta.  </w:t>
      </w:r>
    </w:p>
    <w:p>
      <w:pPr>
        <w:pStyle w:val="ListParagraph"/>
        <w:numPr>
          <w:ilvl w:val="1"/>
          <w:numId w:val="1"/>
        </w:numPr>
        <w:tabs>
          <w:tab w:val="clear" w:pos="708"/>
          <w:tab w:val="left" w:pos="560" w:leader="none"/>
        </w:tabs>
        <w:spacing w:lineRule="auto" w:line="276"/>
        <w:ind w:hanging="0" w:left="0" w:right="-15"/>
        <w:jc w:val="both"/>
        <w:rPr>
          <w:rFonts w:ascii="Verdana" w:hAnsi="Verdana" w:cs="Arial"/>
          <w:szCs w:val="20"/>
          <w:lang w:eastAsia="en-US"/>
        </w:rPr>
      </w:pPr>
      <w:r>
        <w:rPr>
          <w:rFonts w:cs="Arial" w:ascii="Verdana" w:hAnsi="Verdana"/>
          <w:szCs w:val="20"/>
          <w:lang w:eastAsia="en-US"/>
        </w:rPr>
        <w:t>Erros no preenchimento da planilha não constituem motivo para a desclassificac</w:t>
      </w:r>
      <w:r>
        <w:rPr>
          <w:rFonts w:cs="Arial"/>
          <w:szCs w:val="20"/>
          <w:lang w:eastAsia="en-US"/>
        </w:rPr>
        <w:t>̧</w:t>
      </w:r>
      <w:r>
        <w:rPr>
          <w:rFonts w:cs="Arial" w:ascii="Verdana" w:hAnsi="Verdana"/>
          <w:szCs w:val="20"/>
          <w:lang w:eastAsia="en-US"/>
        </w:rPr>
        <w:t xml:space="preserve">ão da proposta. A planilha </w:t>
      </w:r>
      <w:r>
        <w:rPr>
          <w:rFonts w:cs="Arial" w:ascii="Verdana" w:hAnsi="Verdana"/>
          <w:szCs w:val="20"/>
        </w:rPr>
        <w:t>poderá́</w:t>
      </w:r>
      <w:r>
        <w:rPr>
          <w:rFonts w:cs="Arial" w:ascii="Verdana" w:hAnsi="Verdana"/>
          <w:szCs w:val="20"/>
          <w:lang w:eastAsia="en-US"/>
        </w:rPr>
        <w:t xml:space="preserve"> ser ajustada pelo fornecedor, no prazo indicado pelo sistema, desde que não haja majoração do preço.</w:t>
      </w:r>
    </w:p>
    <w:p>
      <w:pPr>
        <w:pStyle w:val="ListParagraph"/>
        <w:numPr>
          <w:ilvl w:val="2"/>
          <w:numId w:val="1"/>
        </w:numPr>
        <w:spacing w:lineRule="auto" w:line="276"/>
        <w:jc w:val="both"/>
        <w:rPr>
          <w:rFonts w:ascii="Verdana" w:hAnsi="Verdana" w:cs="Arial"/>
          <w:szCs w:val="20"/>
          <w:lang w:eastAsia="en-US"/>
        </w:rPr>
      </w:pPr>
      <w:r>
        <w:rPr>
          <w:rFonts w:cs="Arial" w:ascii="Verdana" w:hAnsi="Verdana"/>
          <w:szCs w:val="20"/>
          <w:lang w:eastAsia="en-US"/>
        </w:rPr>
        <w:t>O ajuste de que trata este dispositivo se limita a sanar erros ou falhas que não alterem a substância das propostas;</w:t>
      </w:r>
    </w:p>
    <w:p>
      <w:pPr>
        <w:pStyle w:val="ListParagraph"/>
        <w:numPr>
          <w:ilvl w:val="1"/>
          <w:numId w:val="1"/>
        </w:numPr>
        <w:tabs>
          <w:tab w:val="clear" w:pos="708"/>
          <w:tab w:val="left" w:pos="546" w:leader="none"/>
        </w:tabs>
        <w:spacing w:lineRule="auto" w:line="276"/>
        <w:ind w:hanging="0" w:left="0"/>
        <w:jc w:val="both"/>
        <w:rPr>
          <w:rFonts w:ascii="Verdana" w:hAnsi="Verdana" w:cs="Arial"/>
          <w:szCs w:val="20"/>
          <w:lang w:eastAsia="en-US"/>
        </w:rPr>
      </w:pPr>
      <w:r>
        <w:rPr>
          <w:rFonts w:cs="Arial" w:ascii="Verdana" w:hAnsi="Verdana"/>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tabs>
          <w:tab w:val="clear" w:pos="708"/>
          <w:tab w:val="left" w:pos="546" w:leader="none"/>
        </w:tabs>
        <w:spacing w:lineRule="auto" w:line="276"/>
        <w:ind w:hanging="0" w:left="0"/>
        <w:jc w:val="both"/>
        <w:rPr>
          <w:rFonts w:ascii="Verdana" w:hAnsi="Verdana" w:cs="Arial"/>
          <w:szCs w:val="20"/>
          <w:lang w:eastAsia="en-US"/>
        </w:rPr>
      </w:pPr>
      <w:r>
        <w:rPr>
          <w:rFonts w:cs="Arial" w:ascii="Verdana" w:hAnsi="Verdana"/>
          <w:szCs w:val="20"/>
          <w:lang w:eastAsia="en-US"/>
        </w:rPr>
        <w:t>Se a proposta ou lance vencedor for desclassificado, será examinada a proposta ou lance subsequente, e, assim sucessivamente, na ordem de classificação.</w:t>
      </w:r>
    </w:p>
    <w:p>
      <w:pPr>
        <w:pStyle w:val="ListParagraph"/>
        <w:numPr>
          <w:ilvl w:val="1"/>
          <w:numId w:val="1"/>
        </w:numPr>
        <w:tabs>
          <w:tab w:val="clear" w:pos="708"/>
          <w:tab w:val="left" w:pos="546" w:leader="none"/>
        </w:tabs>
        <w:spacing w:lineRule="auto" w:line="276"/>
        <w:ind w:hanging="0" w:left="0"/>
        <w:jc w:val="both"/>
        <w:rPr>
          <w:rFonts w:ascii="Verdana" w:hAnsi="Verdana" w:cs="Arial"/>
          <w:szCs w:val="20"/>
          <w:lang w:eastAsia="en-US"/>
        </w:rPr>
      </w:pPr>
      <w:r>
        <w:rPr>
          <w:rFonts w:cs="Arial" w:ascii="Verdana" w:hAnsi="Verdana"/>
          <w:szCs w:val="20"/>
          <w:lang w:eastAsia="en-US"/>
        </w:rPr>
        <w:t>Havendo necessidade, a sessão será suspensa, informando-se no “chat” a nova data e horário para a sua continuidade.</w:t>
      </w:r>
    </w:p>
    <w:p>
      <w:pPr>
        <w:pStyle w:val="ListParagraph"/>
        <w:numPr>
          <w:ilvl w:val="1"/>
          <w:numId w:val="1"/>
        </w:numPr>
        <w:tabs>
          <w:tab w:val="clear" w:pos="708"/>
          <w:tab w:val="left" w:pos="546" w:leader="none"/>
        </w:tabs>
        <w:spacing w:lineRule="auto" w:line="276"/>
        <w:ind w:hanging="0" w:left="0"/>
        <w:jc w:val="both"/>
        <w:rPr>
          <w:rFonts w:ascii="Verdana" w:hAnsi="Verdana" w:cs="Arial"/>
          <w:szCs w:val="20"/>
          <w:lang w:eastAsia="en-US"/>
        </w:rPr>
      </w:pPr>
      <w:r>
        <w:rPr>
          <w:rFonts w:cs="Arial" w:ascii="Verdana" w:hAnsi="Verdana"/>
          <w:szCs w:val="20"/>
          <w:lang w:eastAsia="en-US"/>
        </w:rPr>
        <w:t>Encerrada a análise quanto à aceitação da proposta, se iniciará a fase de habilitação, observado o disposto neste Aviso de Contratação Direta. </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HABILITAÇÃO</w:t>
      </w:r>
    </w:p>
    <w:p>
      <w:pPr>
        <w:pStyle w:val="ListParagraph"/>
        <w:numPr>
          <w:ilvl w:val="1"/>
          <w:numId w:val="1"/>
        </w:numPr>
        <w:spacing w:lineRule="auto" w:line="276"/>
        <w:ind w:hanging="574" w:left="567"/>
        <w:jc w:val="both"/>
        <w:rPr>
          <w:rFonts w:ascii="Verdana" w:hAnsi="Verdana" w:cs="Arial"/>
          <w:b/>
          <w:szCs w:val="20"/>
          <w:lang w:eastAsia="ar-SA"/>
        </w:rPr>
      </w:pPr>
      <w:r>
        <w:rPr>
          <w:rFonts w:cs="Arial" w:ascii="Verdana" w:hAnsi="Verdana"/>
          <w:szCs w:val="20"/>
          <w:lang w:eastAsia="ar-SA"/>
        </w:rPr>
        <w:t xml:space="preserve">Os </w:t>
      </w:r>
      <w:r>
        <w:rPr>
          <w:rFonts w:cs="Arial" w:ascii="Verdana" w:hAnsi="Verdana"/>
          <w:szCs w:val="20"/>
        </w:rPr>
        <w:t>documentos</w:t>
      </w:r>
      <w:r>
        <w:rPr>
          <w:rFonts w:cs="Arial" w:ascii="Verdana" w:hAnsi="Verdana"/>
          <w:szCs w:val="20"/>
          <w:lang w:eastAsia="ar-SA"/>
        </w:rPr>
        <w:t xml:space="preserve"> a serem exigidos para fins de habilitação constam do </w:t>
      </w:r>
      <w:r>
        <w:rPr>
          <w:rFonts w:cs="Arial" w:ascii="Verdana" w:hAnsi="Verdana"/>
          <w:b/>
          <w:szCs w:val="20"/>
          <w:lang w:eastAsia="ar-SA"/>
        </w:rPr>
        <w:t xml:space="preserve">ANEXO I – DOCUMENTAÇÃO EXIGIDA PARA HABILITAÇÃO </w:t>
      </w:r>
      <w:r>
        <w:rPr>
          <w:rFonts w:cs="Arial" w:ascii="Verdana" w:hAnsi="Verdana"/>
          <w:szCs w:val="20"/>
          <w:lang w:eastAsia="ar-SA"/>
        </w:rPr>
        <w:t>deste aviso e serão solicitados do fornecedor mais bem classificado da fase de lances.</w:t>
      </w:r>
    </w:p>
    <w:p>
      <w:pPr>
        <w:pStyle w:val="ListParagraph"/>
        <w:numPr>
          <w:ilvl w:val="1"/>
          <w:numId w:val="1"/>
        </w:numPr>
        <w:spacing w:lineRule="auto" w:line="276"/>
        <w:ind w:hanging="574" w:left="567"/>
        <w:jc w:val="both"/>
        <w:rPr>
          <w:rFonts w:ascii="Verdana" w:hAnsi="Verdana" w:cs="Arial"/>
          <w:b/>
          <w:szCs w:val="20"/>
          <w:lang w:eastAsia="ar-SA"/>
        </w:rPr>
      </w:pPr>
      <w:r>
        <w:rPr>
          <w:rFonts w:cs="Arial" w:ascii="Verdana" w:hAnsi="Verdana"/>
          <w:szCs w:val="20"/>
          <w:lang w:eastAsia="ar-SA"/>
        </w:rPr>
        <w:t xml:space="preserve">Como </w:t>
      </w:r>
      <w:r>
        <w:rPr>
          <w:rFonts w:cs="Arial" w:ascii="Verdana" w:hAnsi="Verdana"/>
          <w:szCs w:val="20"/>
        </w:rPr>
        <w:t>condição</w:t>
      </w:r>
      <w:r>
        <w:rPr>
          <w:rFonts w:cs="Arial" w:ascii="Verdana" w:hAnsi="Verdana"/>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ind w:left="1134"/>
        <w:jc w:val="both"/>
        <w:rPr>
          <w:rFonts w:ascii="Verdana" w:hAnsi="Verdana" w:cs="Arial"/>
          <w:szCs w:val="20"/>
          <w:lang w:eastAsia="ar-SA"/>
        </w:rPr>
      </w:pPr>
      <w:r>
        <w:rPr>
          <w:rFonts w:cs="Arial" w:ascii="Verdana" w:hAnsi="Verdana"/>
          <w:szCs w:val="20"/>
          <w:lang w:eastAsia="ar-SA"/>
        </w:rPr>
        <w:t xml:space="preserve">a) SICAF;  </w:t>
      </w:r>
    </w:p>
    <w:p>
      <w:pPr>
        <w:pStyle w:val="ListParagraph"/>
        <w:spacing w:lineRule="auto" w:line="276"/>
        <w:ind w:left="1134"/>
        <w:jc w:val="both"/>
        <w:rPr>
          <w:rFonts w:ascii="Verdana" w:hAnsi="Verdana"/>
          <w:szCs w:val="20"/>
        </w:rPr>
      </w:pPr>
      <w:r>
        <w:rPr>
          <w:rFonts w:cs="Arial" w:ascii="Verdana" w:hAnsi="Verdana"/>
          <w:szCs w:val="20"/>
          <w:lang w:eastAsia="ar-SA"/>
        </w:rPr>
        <w:t>b) Cadastro Nacional de Empresas Inidôneas e Suspensas - CEIS, mantido pela Controladoria-Geral da União (</w:t>
      </w:r>
      <w:hyperlink r:id="rId4">
        <w:r>
          <w:rPr>
            <w:rStyle w:val="Hyperlink"/>
            <w:rFonts w:eastAsia="Calibri" w:cs="Arial" w:ascii="Verdana" w:hAnsi="Verdana"/>
            <w:color w:val="auto"/>
            <w:szCs w:val="20"/>
            <w:lang w:eastAsia="ar-SA"/>
          </w:rPr>
          <w:t>www.portaldatransparencia.gov.br/ceis</w:t>
        </w:r>
      </w:hyperlink>
      <w:r>
        <w:rPr>
          <w:rFonts w:cs="Arial" w:ascii="Verdana" w:hAnsi="Verdana"/>
          <w:szCs w:val="20"/>
          <w:lang w:eastAsia="ar-SA"/>
        </w:rPr>
        <w:t xml:space="preserve">);  </w:t>
      </w:r>
    </w:p>
    <w:p>
      <w:pPr>
        <w:pStyle w:val="ListParagraph"/>
        <w:spacing w:lineRule="auto" w:line="276"/>
        <w:ind w:left="1134"/>
        <w:jc w:val="both"/>
        <w:rPr>
          <w:rFonts w:ascii="Verdana" w:hAnsi="Verdana"/>
          <w:szCs w:val="20"/>
        </w:rPr>
      </w:pPr>
      <w:r>
        <w:rPr>
          <w:rFonts w:cs="Arial" w:ascii="Verdana" w:hAnsi="Verdana"/>
          <w:szCs w:val="20"/>
          <w:lang w:eastAsia="ar-SA"/>
        </w:rPr>
        <w:t>c) Cadastro Nacional de Condenações Cíveis por Atos de Improbidade Administrativa, mantido pelo Conselho Nacional de Justiça (</w:t>
      </w:r>
      <w:hyperlink r:id="rId5">
        <w:r>
          <w:rPr>
            <w:rStyle w:val="Hyperlink"/>
            <w:rFonts w:eastAsia="Calibri" w:cs="Arial" w:ascii="Verdana" w:hAnsi="Verdana"/>
            <w:color w:val="auto"/>
            <w:szCs w:val="20"/>
            <w:lang w:eastAsia="ar-SA"/>
          </w:rPr>
          <w:t>www.cnj.jus.br/improbidade_adm/consultar_requerido.php</w:t>
        </w:r>
      </w:hyperlink>
      <w:r>
        <w:rPr>
          <w:rFonts w:cs="Arial" w:ascii="Verdana" w:hAnsi="Verdana"/>
          <w:szCs w:val="20"/>
          <w:lang w:eastAsia="ar-SA"/>
        </w:rPr>
        <w:t xml:space="preserve">).  </w:t>
      </w:r>
    </w:p>
    <w:p>
      <w:pPr>
        <w:pStyle w:val="ListParagraph"/>
        <w:spacing w:lineRule="auto" w:line="276"/>
        <w:ind w:left="1134"/>
        <w:jc w:val="both"/>
        <w:rPr>
          <w:rFonts w:ascii="Verdana" w:hAnsi="Verdana" w:cs="Arial"/>
          <w:szCs w:val="20"/>
          <w:lang w:eastAsia="ar-SA"/>
        </w:rPr>
      </w:pPr>
      <w:r>
        <w:rPr>
          <w:rFonts w:cs="Arial" w:ascii="Verdana" w:hAnsi="Verdana"/>
          <w:szCs w:val="20"/>
          <w:lang w:eastAsia="ar-SA"/>
        </w:rPr>
        <w:t xml:space="preserve">d) Lista de Inidôneos mantida pelo Tribunal de Contas da União - TCU; </w:t>
      </w:r>
    </w:p>
    <w:p>
      <w:pPr>
        <w:pStyle w:val="ListParagraph"/>
        <w:numPr>
          <w:ilvl w:val="2"/>
          <w:numId w:val="1"/>
        </w:numPr>
        <w:spacing w:lineRule="auto" w:line="276"/>
        <w:jc w:val="both"/>
        <w:rPr>
          <w:rFonts w:ascii="Verdana" w:hAnsi="Verdana" w:cs="Arial"/>
          <w:b/>
          <w:szCs w:val="20"/>
        </w:rPr>
      </w:pPr>
      <w:r>
        <w:rPr>
          <w:rFonts w:cs="Arial" w:ascii="Verdana" w:hAnsi="Verdana"/>
          <w:szCs w:val="20"/>
          <w:lang w:eastAsia="ar-SA"/>
        </w:rPr>
        <w:t xml:space="preserve">Para a consulta de </w:t>
      </w:r>
      <w:r>
        <w:rPr>
          <w:rFonts w:cs="Arial" w:ascii="Verdana" w:hAnsi="Verdana"/>
          <w:szCs w:val="20"/>
        </w:rPr>
        <w:t>fornecedores</w:t>
      </w:r>
      <w:r>
        <w:rPr>
          <w:rFonts w:cs="Arial" w:ascii="Verdana" w:hAnsi="Verdana"/>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jc w:val="both"/>
        <w:rPr>
          <w:rFonts w:ascii="Verdana" w:hAnsi="Verdana" w:cs="Arial"/>
          <w:szCs w:val="20"/>
        </w:rPr>
      </w:pPr>
      <w:r>
        <w:rPr>
          <w:rFonts w:cs="Arial" w:ascii="Verdana" w:hAnsi="Verdana"/>
          <w:szCs w:val="20"/>
        </w:rPr>
        <w:t xml:space="preserve">A consulta aos </w:t>
      </w:r>
      <w:r>
        <w:rPr>
          <w:rFonts w:cs="Arial" w:ascii="Verdana" w:hAnsi="Verdana"/>
          <w:szCs w:val="20"/>
          <w:lang w:eastAsia="ar-SA"/>
        </w:rPr>
        <w:t>cadastros</w:t>
      </w:r>
      <w:r>
        <w:rPr>
          <w:rFonts w:cs="Arial" w:ascii="Verdana" w:hAnsi="Verdana"/>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jc w:val="both"/>
        <w:rPr>
          <w:rFonts w:ascii="Verdana" w:hAnsi="Verdana" w:cs="Arial"/>
          <w:szCs w:val="20"/>
        </w:rPr>
      </w:pPr>
      <w:r>
        <w:rPr>
          <w:rFonts w:cs="Arial" w:ascii="Verdana" w:hAnsi="Verdana"/>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jc w:val="both"/>
        <w:rPr>
          <w:rFonts w:ascii="Verdana" w:hAnsi="Verdana" w:cs="Arial"/>
          <w:szCs w:val="20"/>
        </w:rPr>
      </w:pPr>
      <w:r>
        <w:rPr>
          <w:rFonts w:cs="Arial" w:ascii="Verdana" w:hAnsi="Verdana"/>
          <w:szCs w:val="20"/>
        </w:rPr>
        <w:t>A tentativa de burla será verificada por meio dos vínculos societários, linhas de fornecimento similares, dentre outros.</w:t>
      </w:r>
    </w:p>
    <w:p>
      <w:pPr>
        <w:pStyle w:val="ListParagraph"/>
        <w:numPr>
          <w:ilvl w:val="4"/>
          <w:numId w:val="1"/>
        </w:numPr>
        <w:spacing w:lineRule="auto" w:line="276"/>
        <w:jc w:val="both"/>
        <w:rPr>
          <w:rFonts w:ascii="Verdana" w:hAnsi="Verdana" w:cs="Arial"/>
          <w:szCs w:val="20"/>
        </w:rPr>
      </w:pPr>
      <w:r>
        <w:rPr>
          <w:rFonts w:cs="Arial" w:ascii="Verdana" w:hAnsi="Verdana"/>
          <w:szCs w:val="20"/>
        </w:rPr>
        <w:t>O fornecedor será convocado para manifestação previamente à sua desclassificação</w:t>
      </w:r>
    </w:p>
    <w:p>
      <w:pPr>
        <w:pStyle w:val="ListParagraph"/>
        <w:numPr>
          <w:ilvl w:val="2"/>
          <w:numId w:val="1"/>
        </w:numPr>
        <w:spacing w:lineRule="auto" w:line="276"/>
        <w:jc w:val="both"/>
        <w:rPr>
          <w:rFonts w:ascii="Verdana" w:hAnsi="Verdana" w:cs="Arial"/>
          <w:szCs w:val="20"/>
        </w:rPr>
      </w:pPr>
      <w:r>
        <w:rPr>
          <w:rFonts w:cs="Arial" w:ascii="Verdana" w:hAnsi="Verdana"/>
          <w:szCs w:val="20"/>
        </w:rPr>
        <w:t>Constatada a existência de sanção, o fornecedor será reputado inabilitado, por falta de condição de participação.</w:t>
      </w:r>
    </w:p>
    <w:p>
      <w:pPr>
        <w:pStyle w:val="ListParagraph"/>
        <w:numPr>
          <w:ilvl w:val="1"/>
          <w:numId w:val="1"/>
        </w:numPr>
        <w:spacing w:lineRule="auto" w:line="276"/>
        <w:ind w:hanging="574" w:left="567"/>
        <w:jc w:val="both"/>
        <w:rPr>
          <w:rFonts w:ascii="Verdana" w:hAnsi="Verdana" w:cs="Arial"/>
          <w:szCs w:val="20"/>
        </w:rPr>
      </w:pPr>
      <w:r>
        <w:rPr>
          <w:rFonts w:cs="Arial" w:ascii="Verdana" w:hAnsi="Verdana"/>
          <w:szCs w:val="20"/>
        </w:rPr>
        <w:t>Caso atendidas as condições de participação, a habilitação dos fornecedores será verificada por meio do SICAF, nos documentos por ele abrangidos.</w:t>
      </w:r>
    </w:p>
    <w:p>
      <w:pPr>
        <w:pStyle w:val="ListParagraph"/>
        <w:numPr>
          <w:ilvl w:val="2"/>
          <w:numId w:val="1"/>
        </w:numPr>
        <w:spacing w:lineRule="auto" w:line="276"/>
        <w:jc w:val="both"/>
        <w:rPr>
          <w:rFonts w:ascii="Verdana" w:hAnsi="Verdana" w:cs="Arial"/>
          <w:szCs w:val="20"/>
        </w:rPr>
      </w:pPr>
      <w:r>
        <w:rPr>
          <w:rFonts w:cs="Arial" w:ascii="Verdana" w:hAnsi="Verdana"/>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jc w:val="both"/>
        <w:rPr>
          <w:rFonts w:ascii="Verdana" w:hAnsi="Verdana" w:cs="Arial"/>
          <w:szCs w:val="20"/>
        </w:rPr>
      </w:pPr>
      <w:r>
        <w:rPr>
          <w:rFonts w:cs="Arial" w:ascii="Verdana" w:hAnsi="Verdana"/>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ind w:hanging="574" w:left="567"/>
        <w:jc w:val="both"/>
        <w:rPr>
          <w:rFonts w:ascii="Verdana" w:hAnsi="Verdana" w:cs="Arial"/>
          <w:szCs w:val="20"/>
        </w:rPr>
      </w:pPr>
      <w:r>
        <w:rPr>
          <w:rFonts w:cs="Arial" w:ascii="Verdana" w:hAnsi="Verdana"/>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ind w:hanging="574" w:left="567"/>
        <w:jc w:val="both"/>
        <w:rPr>
          <w:rFonts w:ascii="Verdana" w:hAnsi="Verdana" w:cs="Arial"/>
          <w:szCs w:val="2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ind w:hanging="574" w:left="567"/>
        <w:jc w:val="both"/>
        <w:rPr>
          <w:rFonts w:ascii="Verdana" w:hAnsi="Verdana" w:cs="Arial"/>
          <w:b/>
          <w:bCs/>
          <w:szCs w:val="20"/>
        </w:rPr>
      </w:pPr>
      <w:r>
        <w:rPr>
          <w:rFonts w:cs="Arial" w:ascii="Verdana" w:hAnsi="Verdana"/>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ind w:hanging="574" w:left="567"/>
        <w:jc w:val="both"/>
        <w:rPr>
          <w:rFonts w:ascii="Verdana" w:hAnsi="Verdana" w:cs="Arial"/>
          <w:bCs/>
          <w:szCs w:val="20"/>
        </w:rPr>
      </w:pPr>
      <w:r>
        <w:rPr>
          <w:rFonts w:cs="Arial" w:ascii="Verdana" w:hAnsi="Verdana"/>
          <w:bCs/>
          <w:szCs w:val="20"/>
        </w:rPr>
        <w:t xml:space="preserve">Havendo </w:t>
      </w:r>
      <w:r>
        <w:rPr>
          <w:rFonts w:cs="Arial" w:ascii="Verdana" w:hAnsi="Verdana"/>
          <w:iCs/>
          <w:szCs w:val="20"/>
          <w:lang w:eastAsia="en-US"/>
        </w:rPr>
        <w:t>necessidade</w:t>
      </w:r>
      <w:r>
        <w:rPr>
          <w:rFonts w:cs="Arial" w:ascii="Verdana" w:hAnsi="Verdana"/>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ind w:hanging="574" w:left="567"/>
        <w:jc w:val="both"/>
        <w:rPr>
          <w:rFonts w:ascii="Verdana" w:hAnsi="Verdana" w:cs="Arial"/>
          <w:szCs w:val="20"/>
        </w:rPr>
      </w:pPr>
      <w:r>
        <w:rPr>
          <w:rFonts w:cs="Arial" w:ascii="Verdana" w:hAnsi="Verdana"/>
          <w:szCs w:val="20"/>
        </w:rPr>
        <w:t xml:space="preserve">Será inabilitado o fornecedor que não comprovar sua habilitação, seja por não apresentar </w:t>
      </w:r>
      <w:r>
        <w:rPr>
          <w:rFonts w:cs="Arial" w:ascii="Verdana" w:hAnsi="Verdana"/>
          <w:iCs/>
          <w:szCs w:val="20"/>
          <w:lang w:eastAsia="en-US"/>
        </w:rPr>
        <w:t>quaisquer</w:t>
      </w:r>
      <w:r>
        <w:rPr>
          <w:rFonts w:cs="Arial" w:ascii="Verdana" w:hAnsi="Verdana"/>
          <w:szCs w:val="20"/>
        </w:rPr>
        <w:t xml:space="preserve"> dos </w:t>
      </w:r>
      <w:r>
        <w:rPr>
          <w:rFonts w:cs="Arial" w:ascii="Verdana" w:hAnsi="Verdana"/>
          <w:bCs/>
          <w:szCs w:val="20"/>
        </w:rPr>
        <w:t>documentos</w:t>
      </w:r>
      <w:r>
        <w:rPr>
          <w:rFonts w:cs="Arial" w:ascii="Verdana" w:hAnsi="Verdana"/>
          <w:szCs w:val="20"/>
        </w:rPr>
        <w:t xml:space="preserve"> exigidos, ou apresentá-los em desacordo com o estabelecido neste Aviso de Contratação Direta.</w:t>
      </w:r>
    </w:p>
    <w:p>
      <w:pPr>
        <w:pStyle w:val="ListParagraph"/>
        <w:numPr>
          <w:ilvl w:val="2"/>
          <w:numId w:val="1"/>
        </w:numPr>
        <w:spacing w:lineRule="auto" w:line="276"/>
        <w:jc w:val="both"/>
        <w:rPr>
          <w:rFonts w:ascii="Verdana" w:hAnsi="Verdana" w:cs="Arial"/>
          <w:szCs w:val="20"/>
        </w:rPr>
      </w:pPr>
      <w:r>
        <w:rPr>
          <w:rFonts w:cs="Arial" w:ascii="Verdana" w:hAnsi="Verdana"/>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ind w:hanging="574" w:left="567"/>
        <w:jc w:val="both"/>
        <w:rPr>
          <w:rFonts w:ascii="Verdana" w:hAnsi="Verdana" w:cs="Arial"/>
          <w:iCs/>
          <w:szCs w:val="20"/>
          <w:lang w:eastAsia="en-US"/>
        </w:rPr>
      </w:pPr>
      <w:r>
        <w:rPr>
          <w:rFonts w:cs="Arial" w:ascii="Verdana" w:hAnsi="Verdana"/>
          <w:iCs/>
          <w:szCs w:val="20"/>
          <w:lang w:eastAsia="en-US"/>
        </w:rPr>
        <w:t>Constatado o atendimento às exigências de habilitação, o fornecedor será habilitado.</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CONTRATAÇÃO</w:t>
      </w:r>
    </w:p>
    <w:p>
      <w:pPr>
        <w:pStyle w:val="Normal"/>
        <w:numPr>
          <w:ilvl w:val="1"/>
          <w:numId w:val="1"/>
        </w:numPr>
        <w:tabs>
          <w:tab w:val="clear" w:pos="708"/>
          <w:tab w:val="left" w:pos="574" w:leader="none"/>
        </w:tabs>
        <w:spacing w:lineRule="auto" w:line="276"/>
        <w:ind w:hanging="0" w:left="0"/>
        <w:jc w:val="both"/>
        <w:rPr>
          <w:rFonts w:ascii="Verdana" w:hAnsi="Verdana" w:eastAsia="Arial" w:cs="Arial"/>
          <w:szCs w:val="20"/>
        </w:rPr>
      </w:pPr>
      <w:r>
        <w:rPr>
          <w:rFonts w:eastAsia="Arial" w:cs="Arial" w:ascii="Verdana" w:hAnsi="Verdana"/>
          <w:szCs w:val="20"/>
        </w:rPr>
        <w:t>Após a homologação e adjudicação, caso se conclua pela contratação, será firmado Termo de Contrato ou emitido instrumento equivalente.</w:t>
      </w:r>
    </w:p>
    <w:p>
      <w:pPr>
        <w:pStyle w:val="Normal"/>
        <w:numPr>
          <w:ilvl w:val="1"/>
          <w:numId w:val="1"/>
        </w:numPr>
        <w:tabs>
          <w:tab w:val="clear" w:pos="708"/>
          <w:tab w:val="left" w:pos="574" w:leader="none"/>
        </w:tabs>
        <w:spacing w:lineRule="auto" w:line="276"/>
        <w:ind w:hanging="0" w:left="0"/>
        <w:jc w:val="both"/>
        <w:rPr>
          <w:rFonts w:ascii="Verdana" w:hAnsi="Verdana" w:eastAsia="Arial" w:cs="Arial"/>
          <w:szCs w:val="20"/>
        </w:rPr>
      </w:pPr>
      <w:r>
        <w:rPr>
          <w:rFonts w:eastAsia="Arial" w:cs="Arial" w:ascii="Verdana" w:hAnsi="Verdana"/>
          <w:szCs w:val="20"/>
        </w:rPr>
        <w:t xml:space="preserve">O adjudicatário terá o prazo de </w:t>
      </w:r>
      <w:r>
        <w:rPr>
          <w:rFonts w:eastAsia="Arial" w:cs="Arial" w:ascii="Verdana" w:hAnsi="Verdana"/>
          <w:b/>
          <w:bCs/>
          <w:szCs w:val="20"/>
        </w:rPr>
        <w:t>05 (cinco) dias úteis</w:t>
      </w:r>
      <w:r>
        <w:rPr>
          <w:rFonts w:eastAsia="Arial" w:cs="Arial" w:ascii="Verdana" w:hAnsi="Verdana"/>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pPr>
        <w:pStyle w:val="Normal"/>
        <w:numPr>
          <w:ilvl w:val="2"/>
          <w:numId w:val="1"/>
        </w:numPr>
        <w:spacing w:lineRule="auto" w:line="276"/>
        <w:jc w:val="both"/>
        <w:rPr>
          <w:rFonts w:ascii="Verdana" w:hAnsi="Verdana" w:eastAsia="Arial" w:cs="Arial"/>
          <w:iCs/>
          <w:szCs w:val="20"/>
        </w:rPr>
      </w:pPr>
      <w:r>
        <w:rPr>
          <w:rFonts w:eastAsia="Arial" w:cs="Arial" w:ascii="Verdana" w:hAnsi="Verdana"/>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pPr>
        <w:pStyle w:val="Normal"/>
        <w:numPr>
          <w:ilvl w:val="2"/>
          <w:numId w:val="1"/>
        </w:numPr>
        <w:spacing w:lineRule="auto" w:line="276"/>
        <w:jc w:val="both"/>
        <w:rPr>
          <w:rFonts w:ascii="Verdana" w:hAnsi="Verdana" w:eastAsia="Arial" w:cs="Arial"/>
          <w:szCs w:val="20"/>
        </w:rPr>
      </w:pPr>
      <w:r>
        <w:rPr>
          <w:rFonts w:eastAsia="Arial" w:cs="Arial" w:ascii="Verdana" w:hAnsi="Verdana"/>
          <w:szCs w:val="20"/>
        </w:rPr>
        <w:t xml:space="preserve">O prazo previsto para assinatura do contrato ou aceitação da nota de empenho ou instrumento equivalente poderá ser prorrogado </w:t>
      </w:r>
      <w:r>
        <w:rPr>
          <w:rFonts w:cs="Times New Roman" w:ascii="Verdana" w:hAnsi="Verdana"/>
          <w:bCs/>
          <w:szCs w:val="20"/>
        </w:rPr>
        <w:t>1 (uma) vez</w:t>
      </w:r>
      <w:r>
        <w:rPr>
          <w:rFonts w:eastAsia="Arial" w:cs="Arial" w:ascii="Verdana" w:hAnsi="Verdana"/>
          <w:szCs w:val="20"/>
        </w:rPr>
        <w:t>, por igual período, por solicitação justificada do adjudicatário e aceita pela Administração.</w:t>
      </w:r>
    </w:p>
    <w:p>
      <w:pPr>
        <w:pStyle w:val="Normal"/>
        <w:numPr>
          <w:ilvl w:val="1"/>
          <w:numId w:val="1"/>
        </w:numPr>
        <w:tabs>
          <w:tab w:val="clear" w:pos="708"/>
          <w:tab w:val="left" w:pos="574" w:leader="none"/>
        </w:tabs>
        <w:spacing w:lineRule="auto" w:line="276"/>
        <w:ind w:hanging="0" w:left="0"/>
        <w:jc w:val="both"/>
        <w:rPr>
          <w:rFonts w:ascii="Verdana" w:hAnsi="Verdana" w:eastAsia="Arial" w:cs="Arial"/>
          <w:iCs/>
          <w:szCs w:val="20"/>
        </w:rPr>
      </w:pPr>
      <w:r>
        <w:rPr>
          <w:rFonts w:eastAsia="Arial" w:cs="Arial" w:ascii="Verdana" w:hAnsi="Verdana"/>
          <w:iCs/>
          <w:szCs w:val="20"/>
        </w:rPr>
        <w:t>O Aceite da Nota de Empenho ou do instrumento equivalente, emitida à empresa adjudicada, implica no reconhecimento de que:</w:t>
      </w:r>
    </w:p>
    <w:p>
      <w:pPr>
        <w:pStyle w:val="Normal"/>
        <w:numPr>
          <w:ilvl w:val="2"/>
          <w:numId w:val="1"/>
        </w:numPr>
        <w:spacing w:lineRule="auto" w:line="276"/>
        <w:jc w:val="both"/>
        <w:rPr>
          <w:rFonts w:ascii="Verdana" w:hAnsi="Verdana" w:eastAsia="Arial" w:cs="Arial"/>
          <w:iCs/>
          <w:szCs w:val="20"/>
        </w:rPr>
      </w:pPr>
      <w:r>
        <w:rPr>
          <w:rFonts w:eastAsia="Arial" w:cs="Arial" w:ascii="Verdana" w:hAnsi="Verdana"/>
          <w:iCs/>
          <w:szCs w:val="20"/>
        </w:rPr>
        <w:t>referida Nota ou instrumento equivalente está substituindo o contrato, aplicando-se à relação de negócios ali estabelecida as disposições da Lei nº 14.133, de 2021;</w:t>
      </w:r>
    </w:p>
    <w:p>
      <w:pPr>
        <w:pStyle w:val="Normal"/>
        <w:numPr>
          <w:ilvl w:val="2"/>
          <w:numId w:val="1"/>
        </w:numPr>
        <w:spacing w:lineRule="auto" w:line="276"/>
        <w:jc w:val="both"/>
        <w:rPr>
          <w:rFonts w:ascii="Verdana" w:hAnsi="Verdana" w:eastAsia="Arial" w:cs="Arial"/>
          <w:iCs/>
          <w:szCs w:val="20"/>
        </w:rPr>
      </w:pPr>
      <w:r>
        <w:rPr>
          <w:rFonts w:eastAsia="Arial" w:cs="Arial" w:ascii="Verdana" w:hAnsi="Verdana"/>
          <w:iCs/>
          <w:szCs w:val="20"/>
        </w:rPr>
        <w:t>a contratada se vincula à sua proposta e às previsões contidas no Aviso de Contratação Direta e seus anexos;</w:t>
      </w:r>
    </w:p>
    <w:p>
      <w:pPr>
        <w:pStyle w:val="Normal"/>
        <w:numPr>
          <w:ilvl w:val="2"/>
          <w:numId w:val="1"/>
        </w:numPr>
        <w:spacing w:lineRule="auto" w:line="276"/>
        <w:jc w:val="both"/>
        <w:rPr>
          <w:rFonts w:ascii="Verdana" w:hAnsi="Verdana" w:eastAsia="Arial" w:cs="Arial"/>
          <w:i/>
          <w:i/>
          <w:szCs w:val="20"/>
        </w:rPr>
      </w:pPr>
      <w:r>
        <w:rPr>
          <w:rFonts w:eastAsia="Arial" w:cs="Arial" w:ascii="Verdana" w:hAnsi="Verdana"/>
          <w:iCs/>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tabs>
          <w:tab w:val="clear" w:pos="708"/>
          <w:tab w:val="left" w:pos="588" w:leader="none"/>
        </w:tabs>
        <w:spacing w:lineRule="auto" w:line="276"/>
        <w:ind w:hanging="0" w:left="0"/>
        <w:jc w:val="both"/>
        <w:rPr>
          <w:rFonts w:ascii="Verdana" w:hAnsi="Verdana" w:eastAsia="Arial" w:cs="Arial"/>
          <w:szCs w:val="20"/>
        </w:rPr>
      </w:pPr>
      <w:r>
        <w:rPr>
          <w:rFonts w:eastAsia="Arial" w:cs="Arial" w:ascii="Verdana" w:hAnsi="Verdana"/>
          <w:szCs w:val="20"/>
        </w:rPr>
        <w:t xml:space="preserve">O prazo de vigência da contratação é de </w:t>
      </w:r>
      <w:r>
        <w:rPr>
          <w:rFonts w:eastAsia="Arial" w:cs="Arial" w:ascii="Verdana" w:hAnsi="Verdana"/>
          <w:b/>
          <w:bCs/>
          <w:szCs w:val="20"/>
        </w:rPr>
        <w:t>30 (trinta) dias</w:t>
      </w:r>
      <w:r>
        <w:rPr>
          <w:rFonts w:eastAsia="Arial" w:cs="Arial" w:ascii="Verdana" w:hAnsi="Verdana"/>
          <w:szCs w:val="20"/>
        </w:rPr>
        <w:t xml:space="preserve"> </w:t>
      </w:r>
      <w:r>
        <w:rPr>
          <w:rFonts w:eastAsia="Arial" w:ascii="Verdana" w:hAnsi="Verdana"/>
        </w:rPr>
        <w:t>conforme previsão no Termo de Referência anexo a este Aviso de Contratação Direta.</w:t>
      </w:r>
    </w:p>
    <w:p>
      <w:pPr>
        <w:pStyle w:val="Normal"/>
        <w:numPr>
          <w:ilvl w:val="1"/>
          <w:numId w:val="1"/>
        </w:numPr>
        <w:tabs>
          <w:tab w:val="clear" w:pos="708"/>
          <w:tab w:val="left" w:pos="588" w:leader="none"/>
        </w:tabs>
        <w:spacing w:lineRule="auto" w:line="276"/>
        <w:ind w:hanging="0" w:left="0"/>
        <w:jc w:val="both"/>
        <w:rPr>
          <w:rFonts w:ascii="Verdana" w:hAnsi="Verdana" w:eastAsia="Arial" w:cs="Arial"/>
          <w:szCs w:val="20"/>
        </w:rPr>
      </w:pPr>
      <w:r>
        <w:rPr>
          <w:rFonts w:cs="Arial" w:ascii="Verdana" w:hAnsi="Verdana"/>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SANÇÕES</w:t>
      </w:r>
    </w:p>
    <w:p>
      <w:pPr>
        <w:pStyle w:val="Normal"/>
        <w:numPr>
          <w:ilvl w:val="1"/>
          <w:numId w:val="1"/>
        </w:numPr>
        <w:tabs>
          <w:tab w:val="clear" w:pos="708"/>
          <w:tab w:val="left" w:pos="574" w:leader="none"/>
        </w:tabs>
        <w:spacing w:lineRule="auto" w:line="276"/>
        <w:ind w:hanging="0" w:left="0"/>
        <w:jc w:val="both"/>
        <w:rPr>
          <w:rFonts w:ascii="Verdana" w:hAnsi="Verdana" w:cs="Arial"/>
          <w:b/>
          <w:szCs w:val="20"/>
        </w:rPr>
      </w:pPr>
      <w:r>
        <w:rPr>
          <w:rFonts w:cs="Arial" w:ascii="Verdana" w:hAnsi="Verdana"/>
          <w:szCs w:val="20"/>
        </w:rPr>
        <w:t xml:space="preserve">Comete infração administrativa o fornecedor que cometer quaisquer das infrações previstas no art. 155 da Lei nº 14.133, de 2021, quais sejam: </w:t>
      </w:r>
    </w:p>
    <w:p>
      <w:pPr>
        <w:pStyle w:val="Normal"/>
        <w:numPr>
          <w:ilvl w:val="2"/>
          <w:numId w:val="1"/>
        </w:numPr>
        <w:spacing w:lineRule="auto" w:line="276"/>
        <w:jc w:val="both"/>
        <w:rPr>
          <w:rFonts w:ascii="Verdana" w:hAnsi="Verdana" w:cs="Arial"/>
          <w:szCs w:val="20"/>
        </w:rPr>
      </w:pPr>
      <w:r>
        <w:rPr>
          <w:rFonts w:cs="Arial" w:ascii="Verdana" w:hAnsi="Verdana"/>
          <w:szCs w:val="20"/>
        </w:rPr>
        <w:t>dar causa à inexecução parcial do contrato;</w:t>
      </w:r>
    </w:p>
    <w:p>
      <w:pPr>
        <w:pStyle w:val="Normal"/>
        <w:numPr>
          <w:ilvl w:val="2"/>
          <w:numId w:val="1"/>
        </w:numPr>
        <w:spacing w:lineRule="auto" w:line="276"/>
        <w:jc w:val="both"/>
        <w:rPr>
          <w:rFonts w:ascii="Verdana" w:hAnsi="Verdana" w:cs="Arial"/>
          <w:szCs w:val="20"/>
        </w:rPr>
      </w:pPr>
      <w:r>
        <w:rPr>
          <w:rFonts w:cs="Arial" w:ascii="Verdana" w:hAnsi="Verdana"/>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jc w:val="both"/>
        <w:rPr>
          <w:rFonts w:ascii="Verdana" w:hAnsi="Verdana" w:cs="Arial"/>
          <w:szCs w:val="20"/>
        </w:rPr>
      </w:pPr>
      <w:r>
        <w:rPr>
          <w:rFonts w:cs="Arial" w:ascii="Verdana" w:hAnsi="Verdana"/>
          <w:szCs w:val="20"/>
        </w:rPr>
        <w:t>dar causa à inexecução total do contrato;</w:t>
      </w:r>
    </w:p>
    <w:p>
      <w:pPr>
        <w:pStyle w:val="Normal"/>
        <w:numPr>
          <w:ilvl w:val="2"/>
          <w:numId w:val="1"/>
        </w:numPr>
        <w:spacing w:lineRule="auto" w:line="276"/>
        <w:jc w:val="both"/>
        <w:rPr>
          <w:rFonts w:ascii="Verdana" w:hAnsi="Verdana" w:cs="Arial"/>
          <w:szCs w:val="20"/>
        </w:rPr>
      </w:pPr>
      <w:r>
        <w:rPr>
          <w:rFonts w:cs="Arial" w:ascii="Verdana" w:hAnsi="Verdana"/>
          <w:szCs w:val="20"/>
        </w:rPr>
        <w:t>deixar de entregar a documentação exigida para o certame;</w:t>
      </w:r>
    </w:p>
    <w:p>
      <w:pPr>
        <w:pStyle w:val="Normal"/>
        <w:numPr>
          <w:ilvl w:val="2"/>
          <w:numId w:val="1"/>
        </w:numPr>
        <w:spacing w:lineRule="auto" w:line="276"/>
        <w:jc w:val="both"/>
        <w:rPr>
          <w:rFonts w:ascii="Verdana" w:hAnsi="Verdana" w:cs="Arial"/>
          <w:szCs w:val="20"/>
        </w:rPr>
      </w:pPr>
      <w:r>
        <w:rPr>
          <w:rFonts w:cs="Arial" w:ascii="Verdana" w:hAnsi="Verdana"/>
          <w:szCs w:val="20"/>
        </w:rPr>
        <w:t>não manter a proposta, salvo em decorrência de fato superveniente devidamente justificado;</w:t>
      </w:r>
    </w:p>
    <w:p>
      <w:pPr>
        <w:pStyle w:val="Normal"/>
        <w:numPr>
          <w:ilvl w:val="2"/>
          <w:numId w:val="1"/>
        </w:numPr>
        <w:spacing w:lineRule="auto" w:line="276"/>
        <w:jc w:val="both"/>
        <w:rPr>
          <w:rFonts w:ascii="Verdana" w:hAnsi="Verdana" w:cs="Arial"/>
          <w:szCs w:val="20"/>
        </w:rPr>
      </w:pPr>
      <w:r>
        <w:rPr>
          <w:rFonts w:cs="Arial" w:ascii="Verdana" w:hAnsi="Verdana"/>
          <w:szCs w:val="20"/>
        </w:rPr>
        <w:t>não celebrar o contrato ou não entregar a documentação exigida para a contratação, quando convocado dentro do prazo de validade de sua proposta;</w:t>
      </w:r>
    </w:p>
    <w:p>
      <w:pPr>
        <w:pStyle w:val="Normal"/>
        <w:numPr>
          <w:ilvl w:val="2"/>
          <w:numId w:val="1"/>
        </w:numPr>
        <w:spacing w:lineRule="auto" w:line="276"/>
        <w:jc w:val="both"/>
        <w:rPr>
          <w:rFonts w:ascii="Verdana" w:hAnsi="Verdana" w:cs="Arial"/>
          <w:szCs w:val="20"/>
        </w:rPr>
      </w:pPr>
      <w:r>
        <w:rPr>
          <w:rFonts w:cs="Arial" w:ascii="Verdana" w:hAnsi="Verdana"/>
          <w:szCs w:val="20"/>
        </w:rPr>
        <w:t>ensejar o retardamento da execução ou da entrega do objeto da licitação sem motivo justificado;</w:t>
      </w:r>
    </w:p>
    <w:p>
      <w:pPr>
        <w:pStyle w:val="Normal"/>
        <w:numPr>
          <w:ilvl w:val="2"/>
          <w:numId w:val="1"/>
        </w:numPr>
        <w:spacing w:lineRule="auto" w:line="276"/>
        <w:jc w:val="both"/>
        <w:rPr>
          <w:rFonts w:ascii="Verdana" w:hAnsi="Verdana" w:cs="Arial"/>
          <w:szCs w:val="20"/>
        </w:rPr>
      </w:pPr>
      <w:r>
        <w:rPr>
          <w:rFonts w:cs="Arial" w:ascii="Verdana" w:hAnsi="Verdana"/>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jc w:val="both"/>
        <w:rPr>
          <w:rFonts w:ascii="Verdana" w:hAnsi="Verdana" w:cs="Arial"/>
          <w:szCs w:val="20"/>
        </w:rPr>
      </w:pPr>
      <w:r>
        <w:rPr>
          <w:rFonts w:cs="Arial" w:ascii="Verdana" w:hAnsi="Verdana"/>
          <w:szCs w:val="20"/>
        </w:rPr>
        <w:t>fraudar a dispensa eletrônica ou praticar ato fraudulento na execução do contrato;</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szCs w:val="20"/>
        </w:rPr>
        <w:t>comportar-se de modo inidôneo ou cometer fraude de qualquer natureza;</w:t>
      </w:r>
    </w:p>
    <w:p>
      <w:pPr>
        <w:pStyle w:val="ListParagraph"/>
        <w:numPr>
          <w:ilvl w:val="3"/>
          <w:numId w:val="1"/>
        </w:numPr>
        <w:spacing w:lineRule="auto" w:line="276"/>
        <w:jc w:val="both"/>
        <w:rPr>
          <w:rFonts w:ascii="Verdana" w:hAnsi="Verdana" w:cs="Arial"/>
          <w:szCs w:val="20"/>
        </w:rPr>
      </w:pPr>
      <w:r>
        <w:rPr>
          <w:rFonts w:cs="Arial" w:ascii="Verdana" w:hAnsi="Verdana"/>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tabs>
          <w:tab w:val="clear" w:pos="708"/>
          <w:tab w:val="left" w:pos="1680" w:leader="none"/>
        </w:tabs>
        <w:spacing w:lineRule="auto" w:line="276"/>
        <w:ind w:hanging="425" w:left="1134"/>
        <w:jc w:val="both"/>
        <w:rPr>
          <w:rFonts w:ascii="Verdana" w:hAnsi="Verdana" w:cs="Arial"/>
          <w:szCs w:val="20"/>
        </w:rPr>
      </w:pPr>
      <w:r>
        <w:rPr>
          <w:rFonts w:cs="Arial" w:ascii="Verdana" w:hAnsi="Verdana"/>
          <w:szCs w:val="20"/>
        </w:rPr>
        <w:t>praticar atos ilícitos com vistas a frustrar os objetivos deste certame.</w:t>
      </w:r>
    </w:p>
    <w:p>
      <w:pPr>
        <w:pStyle w:val="Normal"/>
        <w:numPr>
          <w:ilvl w:val="2"/>
          <w:numId w:val="1"/>
        </w:numPr>
        <w:spacing w:lineRule="auto" w:line="276"/>
        <w:ind w:hanging="406" w:left="1134"/>
        <w:jc w:val="both"/>
        <w:rPr>
          <w:rFonts w:ascii="Verdana" w:hAnsi="Verdana"/>
          <w:szCs w:val="20"/>
        </w:rPr>
      </w:pPr>
      <w:r>
        <w:rPr>
          <w:rFonts w:cs="Arial" w:ascii="Verdana" w:hAnsi="Verdana"/>
          <w:szCs w:val="20"/>
        </w:rPr>
        <w:t>praBticar ato lesivo previsto no </w:t>
      </w:r>
      <w:r>
        <w:fldChar w:fldCharType="begin"/>
      </w:r>
      <w:r>
        <w:rPr>
          <w:rStyle w:val="ListLabel49"/>
          <w:szCs w:val="20"/>
          <w:rFonts w:ascii="Verdana" w:hAnsi="Verdana"/>
        </w:rPr>
        <w:instrText xml:space="preserve"> HYPERLINK "http://www.planalto.gov.br/ccivil_03/_Ato2011-2014/2013/Lei/L12846.htm" \l "art5"</w:instrText>
      </w:r>
      <w:r>
        <w:rPr>
          <w:rStyle w:val="ListLabel49"/>
          <w:szCs w:val="20"/>
          <w:rFonts w:ascii="Verdana" w:hAnsi="Verdana"/>
        </w:rPr>
        <w:fldChar w:fldCharType="separate"/>
      </w:r>
      <w:r>
        <w:rPr>
          <w:rStyle w:val="ListLabel49"/>
          <w:rFonts w:ascii="Verdana" w:hAnsi="Verdana"/>
          <w:szCs w:val="20"/>
        </w:rPr>
        <w:t>art. 5º da Lei nº 12.846, de 1º de agosto de 2013.</w:t>
      </w:r>
      <w:r>
        <w:rPr>
          <w:rStyle w:val="ListLabel49"/>
          <w:szCs w:val="20"/>
          <w:rFonts w:ascii="Verdana" w:hAnsi="Verdana"/>
        </w:rPr>
        <w:fldChar w:fldCharType="end"/>
      </w:r>
    </w:p>
    <w:p>
      <w:pPr>
        <w:pStyle w:val="Normal"/>
        <w:numPr>
          <w:ilvl w:val="1"/>
          <w:numId w:val="1"/>
        </w:numPr>
        <w:tabs>
          <w:tab w:val="clear" w:pos="708"/>
          <w:tab w:val="left" w:pos="574" w:leader="none"/>
        </w:tabs>
        <w:spacing w:lineRule="auto" w:line="276"/>
        <w:ind w:hanging="0" w:left="0"/>
        <w:jc w:val="both"/>
        <w:rPr>
          <w:rFonts w:ascii="Verdana" w:hAnsi="Verdana" w:cs="Arial"/>
          <w:b/>
          <w:szCs w:val="20"/>
        </w:rPr>
      </w:pPr>
      <w:r>
        <w:rPr>
          <w:rFonts w:cs="Arial" w:ascii="Verdana" w:hAnsi="Verdana"/>
          <w:szCs w:val="20"/>
        </w:rPr>
        <w:t>O fornecedor que cometer qualquer das infrações discriminadas nos subitens anteriores ficará sujeito, sem prejuízo da responsabilidade civil e criminal, às seguintes sanções:</w:t>
      </w:r>
    </w:p>
    <w:p>
      <w:pPr>
        <w:pStyle w:val="Normal"/>
        <w:numPr>
          <w:ilvl w:val="2"/>
          <w:numId w:val="3"/>
        </w:numPr>
        <w:spacing w:lineRule="auto" w:line="276"/>
        <w:jc w:val="both"/>
        <w:rPr>
          <w:rFonts w:ascii="Verdana" w:hAnsi="Verdana" w:cs="Arial"/>
          <w:szCs w:val="20"/>
        </w:rPr>
      </w:pPr>
      <w:r>
        <w:rPr>
          <w:rFonts w:cs="Arial" w:ascii="Verdana" w:hAnsi="Verdana"/>
          <w:szCs w:val="20"/>
        </w:rPr>
        <w:t>Advertência pela falta do subitem 8.1.1 deste Aviso de Contratação Direta,</w:t>
      </w:r>
      <w:r>
        <w:rPr>
          <w:rFonts w:ascii="Verdana" w:hAnsi="Verdana"/>
          <w:szCs w:val="20"/>
        </w:rPr>
        <w:t xml:space="preserve"> </w:t>
      </w:r>
      <w:r>
        <w:rPr>
          <w:rFonts w:cs="Arial" w:ascii="Verdana" w:hAnsi="Verdana"/>
          <w:szCs w:val="20"/>
        </w:rPr>
        <w:t>quando não se justificar a imposição de penalidade mais grave;</w:t>
      </w:r>
    </w:p>
    <w:p>
      <w:pPr>
        <w:pStyle w:val="Normal"/>
        <w:numPr>
          <w:ilvl w:val="2"/>
          <w:numId w:val="3"/>
        </w:numPr>
        <w:spacing w:lineRule="auto" w:line="276"/>
        <w:jc w:val="both"/>
        <w:rPr>
          <w:rFonts w:ascii="Verdana" w:hAnsi="Verdana" w:cs="Arial"/>
          <w:szCs w:val="20"/>
        </w:rPr>
      </w:pPr>
      <w:r>
        <w:rPr>
          <w:rFonts w:cs="Arial" w:ascii="Verdana" w:hAnsi="Verdana"/>
          <w:szCs w:val="20"/>
        </w:rPr>
        <w:t>Multa de 30% (trinta por cento) sobre o valor estimado do(s) item(s) prejudicado(s) pela conduta do fornecedor, por qualquer das infrações dos subitens 8.1.1 a 8.1.12;</w:t>
      </w:r>
    </w:p>
    <w:p>
      <w:pPr>
        <w:pStyle w:val="Normal"/>
        <w:numPr>
          <w:ilvl w:val="2"/>
          <w:numId w:val="3"/>
        </w:numPr>
        <w:spacing w:lineRule="auto" w:line="276"/>
        <w:jc w:val="both"/>
        <w:rPr>
          <w:rFonts w:ascii="Verdana" w:hAnsi="Verdana" w:cs="Arial"/>
          <w:szCs w:val="20"/>
        </w:rPr>
      </w:pPr>
      <w:r>
        <w:rPr>
          <w:rFonts w:cs="Arial" w:ascii="Verdana" w:hAnsi="Verdana"/>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pPr>
        <w:pStyle w:val="Normal"/>
        <w:numPr>
          <w:ilvl w:val="2"/>
          <w:numId w:val="3"/>
        </w:numPr>
        <w:spacing w:lineRule="auto" w:line="276"/>
        <w:jc w:val="both"/>
        <w:rPr>
          <w:rFonts w:ascii="Verdana" w:hAnsi="Verdana" w:cs="Arial"/>
          <w:szCs w:val="20"/>
        </w:rPr>
      </w:pPr>
      <w:r>
        <w:rPr>
          <w:rFonts w:cs="Arial" w:ascii="Verdana" w:hAnsi="Verdana"/>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pPr>
        <w:pStyle w:val="Normal"/>
        <w:numPr>
          <w:ilvl w:val="1"/>
          <w:numId w:val="1"/>
        </w:numPr>
        <w:tabs>
          <w:tab w:val="clear" w:pos="708"/>
          <w:tab w:val="left" w:pos="588" w:leader="none"/>
        </w:tabs>
        <w:spacing w:lineRule="auto" w:line="276"/>
        <w:ind w:hanging="0" w:left="0"/>
        <w:jc w:val="both"/>
        <w:rPr>
          <w:rFonts w:ascii="Verdana" w:hAnsi="Verdana" w:cs="Arial"/>
          <w:bCs/>
          <w:szCs w:val="20"/>
        </w:rPr>
      </w:pPr>
      <w:r>
        <w:rPr>
          <w:rFonts w:cs="Arial" w:ascii="Verdana" w:hAnsi="Verdana"/>
          <w:bCs/>
          <w:szCs w:val="20"/>
        </w:rPr>
        <w:t>Na aplicação das sanções serão considerados:</w:t>
      </w:r>
    </w:p>
    <w:p>
      <w:pPr>
        <w:pStyle w:val="Normal"/>
        <w:numPr>
          <w:ilvl w:val="2"/>
          <w:numId w:val="1"/>
        </w:numPr>
        <w:spacing w:lineRule="auto" w:line="276"/>
        <w:jc w:val="both"/>
        <w:rPr>
          <w:rFonts w:ascii="Verdana" w:hAnsi="Verdana" w:cs="Arial"/>
          <w:bCs/>
          <w:szCs w:val="20"/>
        </w:rPr>
      </w:pPr>
      <w:r>
        <w:rPr>
          <w:rFonts w:cs="Arial" w:ascii="Verdana" w:hAnsi="Verdana"/>
          <w:bCs/>
          <w:szCs w:val="20"/>
        </w:rPr>
        <w:t>a natureza e a gravidade da infração cometida;</w:t>
      </w:r>
    </w:p>
    <w:p>
      <w:pPr>
        <w:pStyle w:val="Normal"/>
        <w:numPr>
          <w:ilvl w:val="2"/>
          <w:numId w:val="1"/>
        </w:numPr>
        <w:spacing w:lineRule="auto" w:line="276"/>
        <w:jc w:val="both"/>
        <w:rPr>
          <w:rFonts w:ascii="Verdana" w:hAnsi="Verdana" w:cs="Arial"/>
          <w:bCs/>
          <w:szCs w:val="20"/>
        </w:rPr>
      </w:pPr>
      <w:r>
        <w:rPr>
          <w:rFonts w:cs="Arial" w:ascii="Verdana" w:hAnsi="Verdana"/>
          <w:bCs/>
          <w:szCs w:val="20"/>
        </w:rPr>
        <w:t>as peculiaridades do caso concreto;</w:t>
      </w:r>
    </w:p>
    <w:p>
      <w:pPr>
        <w:pStyle w:val="Normal"/>
        <w:numPr>
          <w:ilvl w:val="2"/>
          <w:numId w:val="1"/>
        </w:numPr>
        <w:spacing w:lineRule="auto" w:line="276"/>
        <w:jc w:val="both"/>
        <w:rPr>
          <w:rFonts w:ascii="Verdana" w:hAnsi="Verdana" w:cs="Arial"/>
          <w:bCs/>
          <w:szCs w:val="20"/>
        </w:rPr>
      </w:pPr>
      <w:r>
        <w:rPr>
          <w:rFonts w:cs="Arial" w:ascii="Verdana" w:hAnsi="Verdana"/>
          <w:bCs/>
          <w:szCs w:val="20"/>
        </w:rPr>
        <w:t>as circunstâncias agravantes ou atenuantes;</w:t>
      </w:r>
    </w:p>
    <w:p>
      <w:pPr>
        <w:pStyle w:val="Normal"/>
        <w:numPr>
          <w:ilvl w:val="2"/>
          <w:numId w:val="1"/>
        </w:numPr>
        <w:spacing w:lineRule="auto" w:line="276"/>
        <w:jc w:val="both"/>
        <w:rPr>
          <w:rFonts w:ascii="Verdana" w:hAnsi="Verdana" w:cs="Arial"/>
          <w:bCs/>
          <w:szCs w:val="20"/>
        </w:rPr>
      </w:pPr>
      <w:r>
        <w:rPr>
          <w:rFonts w:cs="Arial" w:ascii="Verdana" w:hAnsi="Verdana"/>
          <w:bCs/>
          <w:szCs w:val="20"/>
        </w:rPr>
        <w:t>os danos que dela provierem para a Administração Pública;</w:t>
      </w:r>
    </w:p>
    <w:p>
      <w:pPr>
        <w:pStyle w:val="Normal"/>
        <w:numPr>
          <w:ilvl w:val="2"/>
          <w:numId w:val="1"/>
        </w:numPr>
        <w:spacing w:lineRule="auto" w:line="276"/>
        <w:jc w:val="both"/>
        <w:rPr>
          <w:rFonts w:ascii="Verdana" w:hAnsi="Verdana" w:cs="Arial"/>
          <w:bCs/>
          <w:szCs w:val="20"/>
        </w:rPr>
      </w:pPr>
      <w:r>
        <w:rPr>
          <w:rFonts w:cs="Arial" w:ascii="Verdana" w:hAnsi="Verdana"/>
          <w:bCs/>
          <w:szCs w:val="20"/>
        </w:rPr>
        <w:t>a implantação ou o aperfeiçoamento de programa de integridade, conforme normas e orientações dos órgãos de controle.</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bookmarkStart w:id="4" w:name="art156%252525252525C2%252525252525A78"/>
      <w:bookmarkStart w:id="5" w:name="art156%252525252525C2%252525252525A77"/>
      <w:bookmarkStart w:id="6" w:name="art156%252525252525C2%252525252525A76"/>
      <w:bookmarkEnd w:id="4"/>
      <w:bookmarkEnd w:id="5"/>
      <w:bookmarkEnd w:id="6"/>
      <w:r>
        <w:rPr>
          <w:rFonts w:cs="Arial" w:ascii="Verdana" w:hAnsi="Verdana"/>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25C2%252525252525A79"/>
      <w:bookmarkEnd w:id="7"/>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A aplicação das sanções previstas neste Aviso de Contratação Direta, em hipótese alguma, a obrigação de reparação integral do dano causado à Administração Pública.</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A penalidade de multa pode ser aplicada cumulativamente com as demais sanções.</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tabs>
          <w:tab w:val="clear" w:pos="708"/>
          <w:tab w:val="left" w:pos="588" w:leader="none"/>
        </w:tabs>
        <w:spacing w:lineRule="auto" w:line="276"/>
        <w:ind w:hanging="0" w:left="0"/>
        <w:jc w:val="both"/>
        <w:rPr>
          <w:rFonts w:ascii="Verdana" w:hAnsi="Verdana" w:cs="Arial"/>
          <w:szCs w:val="20"/>
        </w:rPr>
      </w:pPr>
      <w:r>
        <w:rPr>
          <w:rFonts w:cs="Arial" w:ascii="Verdana" w:hAnsi="Verdana"/>
          <w:szCs w:val="20"/>
        </w:rPr>
        <w:t>As sanções por atos praticados no decorrer da contratação estão previstas nos anexos a este Aviso.</w:t>
      </w:r>
    </w:p>
    <w:p>
      <w:pPr>
        <w:pStyle w:val="Normal"/>
        <w:tabs>
          <w:tab w:val="clear" w:pos="708"/>
          <w:tab w:val="left" w:pos="588" w:leader="none"/>
        </w:tabs>
        <w:spacing w:lineRule="auto" w:line="276"/>
        <w:jc w:val="both"/>
        <w:rPr>
          <w:rFonts w:ascii="Verdana" w:hAnsi="Verdana" w:cs="Arial"/>
          <w:szCs w:val="20"/>
        </w:rPr>
      </w:pPr>
      <w:r>
        <w:rPr>
          <w:rFonts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DAS DISPOSIÇÕES GERAIS</w:t>
      </w:r>
    </w:p>
    <w:p>
      <w:pPr>
        <w:pStyle w:val="Normal"/>
        <w:numPr>
          <w:ilvl w:val="1"/>
          <w:numId w:val="1"/>
        </w:numPr>
        <w:tabs>
          <w:tab w:val="clear" w:pos="708"/>
          <w:tab w:val="left" w:pos="504" w:leader="none"/>
        </w:tabs>
        <w:snapToGrid w:val="false"/>
        <w:spacing w:lineRule="auto" w:line="276"/>
        <w:ind w:hanging="0" w:left="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tabs>
          <w:tab w:val="clear" w:pos="708"/>
          <w:tab w:val="left" w:pos="504" w:leader="none"/>
        </w:tabs>
        <w:snapToGrid w:val="false"/>
        <w:spacing w:lineRule="auto" w:line="276"/>
        <w:ind w:hanging="0" w:left="0"/>
        <w:jc w:val="both"/>
        <w:rPr>
          <w:rFonts w:ascii="Verdana" w:hAnsi="Verdana" w:cs="Arial"/>
          <w:szCs w:val="20"/>
        </w:rPr>
      </w:pPr>
      <w:r>
        <w:rPr>
          <w:rFonts w:cs="Arial" w:ascii="Verdana" w:hAnsi="Verdana"/>
          <w:szCs w:val="20"/>
        </w:rPr>
        <w:t>No caso de todos os fornecedores restarem desclassificados ou inabilitados (procedimento fracassado), a Administração poderá:</w:t>
      </w:r>
    </w:p>
    <w:p>
      <w:pPr>
        <w:pStyle w:val="Normal"/>
        <w:numPr>
          <w:ilvl w:val="2"/>
          <w:numId w:val="1"/>
        </w:numPr>
        <w:spacing w:lineRule="auto" w:line="276"/>
        <w:jc w:val="both"/>
        <w:rPr>
          <w:rFonts w:ascii="Verdana" w:hAnsi="Verdana" w:cs="Arial"/>
          <w:szCs w:val="20"/>
        </w:rPr>
      </w:pPr>
      <w:r>
        <w:rPr>
          <w:rFonts w:cs="Arial" w:ascii="Verdana" w:hAnsi="Verdana"/>
          <w:szCs w:val="20"/>
        </w:rPr>
        <w:t>republicar o presente aviso com uma nova data;</w:t>
      </w:r>
    </w:p>
    <w:p>
      <w:pPr>
        <w:pStyle w:val="Normal"/>
        <w:numPr>
          <w:ilvl w:val="2"/>
          <w:numId w:val="1"/>
        </w:numPr>
        <w:spacing w:lineRule="auto" w:line="276"/>
        <w:jc w:val="both"/>
        <w:rPr>
          <w:rFonts w:ascii="Verdana" w:hAnsi="Verdana" w:cs="Arial"/>
          <w:szCs w:val="20"/>
        </w:rPr>
      </w:pPr>
      <w:r>
        <w:rPr>
          <w:rFonts w:cs="Arial" w:ascii="Verdana" w:hAnsi="Verdana"/>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jc w:val="both"/>
        <w:rPr>
          <w:rFonts w:ascii="Verdana" w:hAnsi="Verdana" w:cs="Arial"/>
          <w:szCs w:val="20"/>
        </w:rPr>
      </w:pPr>
      <w:r>
        <w:rPr>
          <w:rFonts w:cs="Arial" w:ascii="Verdana" w:hAnsi="Verdana"/>
          <w:szCs w:val="20"/>
        </w:rPr>
        <w:t>No caso do subitem anterior, a contratação será operacionalizada fora deste procedimento.</w:t>
      </w:r>
    </w:p>
    <w:p>
      <w:pPr>
        <w:pStyle w:val="Normal"/>
        <w:numPr>
          <w:ilvl w:val="2"/>
          <w:numId w:val="1"/>
        </w:numPr>
        <w:spacing w:lineRule="auto" w:line="276"/>
        <w:jc w:val="both"/>
        <w:rPr>
          <w:rFonts w:ascii="Verdana" w:hAnsi="Verdana" w:cs="Arial"/>
          <w:szCs w:val="20"/>
        </w:rPr>
      </w:pPr>
      <w:r>
        <w:rPr>
          <w:rFonts w:cs="Arial" w:ascii="Verdana" w:hAnsi="Verdana"/>
          <w:szCs w:val="20"/>
        </w:rPr>
        <w:t>fixar prazo para que possa haver adequação das propostas ou da documentação de habilitação, conforme o caso.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As providências dos subitens 9.2.1 e 9.2.2 acima poderão ser utilizadas se não houver o comparecimento de quaisquer fornecedores interessados (procedimento deserto).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Em caso de divergência entre disposições deste Aviso de Contratação Direta e de seus anexos ou demais peças que compõem o processo, prevalecerá as deste Aviso.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2h (duas hora) após o pedido, salvo:</w:t>
      </w:r>
    </w:p>
    <w:p>
      <w:pPr>
        <w:pStyle w:val="Normal"/>
        <w:tabs>
          <w:tab w:val="clear" w:pos="708"/>
          <w:tab w:val="left" w:pos="518" w:leader="none"/>
        </w:tabs>
        <w:spacing w:lineRule="auto" w:line="276"/>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pPr>
        <w:pStyle w:val="Normal"/>
        <w:tabs>
          <w:tab w:val="clear" w:pos="708"/>
          <w:tab w:val="left" w:pos="518" w:leader="none"/>
        </w:tabs>
        <w:spacing w:lineRule="auto" w:line="276"/>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Da sessão pública será divulgada Ata no sistema eletrônico.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Integram este Aviso de Contratação Direta, para todos os fins e efeitos, os seguintes anexos:</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w:t>
      </w:r>
      <w:r>
        <w:rPr>
          <w:rFonts w:cs="Arial" w:ascii="Verdana" w:hAnsi="Verdana"/>
          <w:szCs w:val="20"/>
        </w:rPr>
        <w:t xml:space="preserve"> – Documentação exigida para Habilitação;</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II</w:t>
      </w:r>
      <w:r>
        <w:rPr>
          <w:rFonts w:cs="Arial" w:ascii="Verdana" w:hAnsi="Verdana"/>
          <w:szCs w:val="20"/>
        </w:rPr>
        <w:t xml:space="preserve"> – Termo de Referência;</w:t>
      </w:r>
    </w:p>
    <w:p>
      <w:pPr>
        <w:pStyle w:val="ListParagraph"/>
        <w:tabs>
          <w:tab w:val="clear" w:pos="708"/>
          <w:tab w:val="left" w:pos="1560" w:leader="none"/>
        </w:tabs>
        <w:spacing w:lineRule="auto" w:line="276"/>
        <w:ind w:left="360"/>
        <w:jc w:val="both"/>
        <w:rPr>
          <w:rFonts w:ascii="Verdana" w:hAnsi="Verdana" w:cs="Arial"/>
          <w:szCs w:val="20"/>
        </w:rPr>
      </w:pPr>
      <w:r>
        <w:rPr>
          <w:rFonts w:cs="Arial" w:ascii="Verdana" w:hAnsi="Verdana"/>
          <w:b/>
          <w:bCs/>
          <w:szCs w:val="20"/>
        </w:rPr>
        <w:tab/>
        <w:t>9.15.2.1 ANEXO II-1</w:t>
      </w:r>
      <w:r>
        <w:rPr>
          <w:rFonts w:cs="Arial" w:ascii="Verdana" w:hAnsi="Verdana"/>
          <w:szCs w:val="20"/>
        </w:rPr>
        <w:t xml:space="preserve"> – Estudo Técnico Preliminar;</w:t>
      </w:r>
    </w:p>
    <w:p>
      <w:pPr>
        <w:pStyle w:val="ListParagraph"/>
        <w:tabs>
          <w:tab w:val="clear" w:pos="708"/>
          <w:tab w:val="left" w:pos="1560" w:leader="none"/>
        </w:tabs>
        <w:spacing w:lineRule="auto" w:line="276"/>
        <w:ind w:left="360"/>
        <w:jc w:val="both"/>
        <w:rPr>
          <w:rFonts w:ascii="Verdana" w:hAnsi="Verdana" w:cs="Arial"/>
          <w:szCs w:val="20"/>
        </w:rPr>
      </w:pPr>
      <w:r>
        <w:rPr>
          <w:rFonts w:cs="Arial" w:ascii="Verdana" w:hAnsi="Verdana"/>
          <w:b/>
          <w:bCs/>
          <w:szCs w:val="20"/>
        </w:rPr>
        <w:tab/>
        <w:t>9.15.2.2 ANEXO II-2</w:t>
      </w:r>
      <w:r>
        <w:rPr>
          <w:rFonts w:cs="Arial" w:ascii="Verdana" w:hAnsi="Verdana"/>
          <w:szCs w:val="20"/>
        </w:rPr>
        <w:t xml:space="preserve"> – Modelo de Proposta.</w:t>
      </w:r>
    </w:p>
    <w:p>
      <w:pPr>
        <w:pStyle w:val="Normal"/>
        <w:tabs>
          <w:tab w:val="clear" w:pos="708"/>
          <w:tab w:val="left" w:pos="1560" w:leader="none"/>
        </w:tabs>
        <w:spacing w:lineRule="auto" w:line="276"/>
        <w:ind w:left="1224"/>
        <w:jc w:val="both"/>
        <w:rPr>
          <w:rFonts w:ascii="Verdana" w:hAnsi="Verdana" w:cs="Arial"/>
          <w:szCs w:val="20"/>
        </w:rPr>
      </w:pPr>
      <w:r>
        <w:rPr>
          <w:rFonts w:cs="Arial" w:ascii="Verdana" w:hAnsi="Verdana"/>
          <w:szCs w:val="20"/>
        </w:rPr>
      </w:r>
    </w:p>
    <w:p>
      <w:pPr>
        <w:pStyle w:val="Normal"/>
        <w:spacing w:lineRule="auto" w:line="276"/>
        <w:ind w:left="360" w:right="-15"/>
        <w:jc w:val="center"/>
        <w:rPr>
          <w:rFonts w:ascii="Verdana" w:hAnsi="Verdana" w:cs="Arial"/>
          <w:szCs w:val="20"/>
        </w:rPr>
      </w:pPr>
      <w:r>
        <w:rPr>
          <w:rFonts w:cs="Arial" w:ascii="Verdana" w:hAnsi="Verdana"/>
          <w:szCs w:val="20"/>
        </w:rPr>
        <w:t>São Gabriel da Palha – ES, 15 de abril de 2025.</w:t>
      </w:r>
    </w:p>
    <w:p>
      <w:pPr>
        <w:pStyle w:val="Normal"/>
        <w:spacing w:lineRule="auto" w:line="276"/>
        <w:ind w:left="360" w:right="-15"/>
        <w:jc w:val="center"/>
        <w:rPr>
          <w:rFonts w:ascii="Verdana" w:hAnsi="Verdana" w:cs="Arial"/>
          <w:szCs w:val="20"/>
        </w:rPr>
      </w:pPr>
      <w:r>
        <w:rPr>
          <w:rFonts w:cs="Arial" w:ascii="Verdana" w:hAnsi="Verdana"/>
          <w:szCs w:val="20"/>
        </w:rPr>
      </w:r>
    </w:p>
    <w:p>
      <w:pPr>
        <w:pStyle w:val="Normal"/>
        <w:spacing w:lineRule="auto" w:line="276"/>
        <w:ind w:left="360" w:right="-15"/>
        <w:jc w:val="center"/>
        <w:rPr>
          <w:rFonts w:ascii="Verdana" w:hAnsi="Verdana" w:cs="Arial"/>
          <w:szCs w:val="20"/>
        </w:rPr>
      </w:pPr>
      <w:r>
        <w:rPr>
          <w:rFonts w:cs="Arial" w:ascii="Verdana" w:hAnsi="Verdana"/>
          <w:szCs w:val="20"/>
        </w:rPr>
      </w:r>
    </w:p>
    <w:p>
      <w:pPr>
        <w:pStyle w:val="Normal"/>
        <w:spacing w:lineRule="auto" w:line="276"/>
        <w:ind w:left="360" w:right="-15"/>
        <w:jc w:val="center"/>
        <w:rPr>
          <w:rFonts w:ascii="Verdana" w:hAnsi="Verdana" w:cs="Arial"/>
          <w:szCs w:val="20"/>
        </w:rPr>
      </w:pPr>
      <w:r>
        <w:rPr>
          <w:rFonts w:cs="Arial" w:ascii="Verdana" w:hAnsi="Verdana"/>
          <w:szCs w:val="20"/>
        </w:rPr>
      </w:r>
    </w:p>
    <w:p>
      <w:pPr>
        <w:pStyle w:val="Normal"/>
        <w:spacing w:lineRule="auto" w:line="276"/>
        <w:ind w:left="360" w:right="-15"/>
        <w:jc w:val="center"/>
        <w:rPr>
          <w:rFonts w:ascii="Verdana" w:hAnsi="Verdana" w:cs="Arial"/>
          <w:szCs w:val="20"/>
        </w:rPr>
      </w:pPr>
      <w:r>
        <w:rPr>
          <w:rFonts w:cs="Arial" w:ascii="Verdana" w:hAnsi="Verdana"/>
          <w:szCs w:val="20"/>
        </w:rPr>
      </w:r>
    </w:p>
    <w:p>
      <w:pPr>
        <w:pStyle w:val="Normal"/>
        <w:spacing w:lineRule="auto" w:line="276"/>
        <w:ind w:left="360" w:right="-15"/>
        <w:jc w:val="center"/>
        <w:rPr>
          <w:rFonts w:ascii="Verdana" w:hAnsi="Verdana" w:cs="Arial"/>
          <w:szCs w:val="20"/>
        </w:rPr>
      </w:pPr>
      <w:r>
        <w:rPr>
          <w:rFonts w:cs="Arial" w:ascii="Verdana" w:hAnsi="Verdana"/>
          <w:szCs w:val="20"/>
        </w:rPr>
      </w:r>
    </w:p>
    <w:p>
      <w:pPr>
        <w:pStyle w:val="Normal"/>
        <w:spacing w:lineRule="auto" w:line="276"/>
        <w:jc w:val="center"/>
        <w:rPr>
          <w:rFonts w:ascii="Verdana" w:hAnsi="Verdana" w:cs="Arial"/>
          <w:b/>
          <w:bCs/>
          <w:iCs/>
          <w:szCs w:val="20"/>
        </w:rPr>
      </w:pPr>
      <w:r>
        <w:rPr>
          <w:rFonts w:cs="Arial" w:ascii="Verdana" w:hAnsi="Verdana"/>
          <w:b/>
          <w:bCs/>
          <w:iCs/>
          <w:szCs w:val="20"/>
        </w:rPr>
        <w:t>ERLITON DE MELLO BRAZ</w:t>
      </w:r>
    </w:p>
    <w:p>
      <w:pPr>
        <w:pStyle w:val="Normal"/>
        <w:spacing w:lineRule="auto" w:line="276"/>
        <w:jc w:val="center"/>
        <w:rPr>
          <w:rFonts w:ascii="Verdana" w:hAnsi="Verdana" w:cs="Arial"/>
          <w:szCs w:val="20"/>
        </w:rPr>
      </w:pPr>
      <w:r>
        <w:rPr>
          <w:rFonts w:cs="Arial" w:ascii="Verdana" w:hAnsi="Verdana"/>
          <w:b/>
          <w:bCs/>
          <w:iCs/>
          <w:szCs w:val="20"/>
        </w:rPr>
        <w:t>Agente de Contratação</w:t>
      </w:r>
    </w:p>
    <w:sectPr>
      <w:headerReference w:type="even" r:id="rId6"/>
      <w:headerReference w:type="default" r:id="rId7"/>
      <w:headerReference w:type="first" r:id="rId8"/>
      <w:type w:val="nextPage"/>
      <w:pgSz w:w="11906" w:h="16838"/>
      <w:pgMar w:left="1134" w:right="849" w:gutter="0" w:header="567" w:top="1418" w:footer="0" w:bottom="1134"/>
      <w:pgNumType w:fmt="decimal"/>
      <w:formProt w:val="false"/>
      <w:textDirection w:val="lrTb"/>
      <w:docGrid w:type="default" w:linePitch="36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Verdana">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pict>
        <v:shape id="PowerPlusWaterMarkObject259915282" o:spid="shape_0" coordsize="1917,1905" path="m0,8l0,8xm6,1l0,8l7,0l6,1xm0,8l0,8xm1915,1904l0,8l1916,1903l1915,1904xe" stroked="f" o:allowincell="f" style="position:absolute;margin-left:0.05pt;margin-top:0pt;width:54.25pt;height:53.9pt;mso-wrap-style:none;v-text-anchor:middle;mso-position-horizontal:center;mso-position-horizontal-relative:margin;mso-position-vertical:center;mso-position-vertical-relative:margin">
          <v:fill o:detectmouseclick="t" on="false"/>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b/>
        <w:bCs/>
        <w:szCs w:val="20"/>
      </w:rPr>
    </w:pPr>
    <w:r>
      <w:drawing>
        <wp:anchor behindDoc="1" distT="0" distB="0" distL="114935" distR="114935" simplePos="0" locked="0" layoutInCell="0" allowOverlap="1" relativeHeight="11">
          <wp:simplePos x="0" y="0"/>
          <wp:positionH relativeFrom="column">
            <wp:posOffset>175260</wp:posOffset>
          </wp:positionH>
          <wp:positionV relativeFrom="paragraph">
            <wp:posOffset>-86360</wp:posOffset>
          </wp:positionV>
          <wp:extent cx="647700" cy="542925"/>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shape_0" adj="10800" fillcolor="white" stroked="f" o:allowincell="f" style="position:absolute;margin-left:243.45pt;margin-top:347.5pt;width:9.2pt;height:1pt;mso-wrap-style:none;v-text-anchor:middle;rotation:315;mso-position-horizontal:center;mso-position-horizontal-relative:margin;mso-position-vertical:center;mso-position-vertical-relative:margin" type="_x0000_t136">
          <v:path textpathok="t"/>
          <v:textpath on="t" fitshape="t" string="MINUTA DE EDITAL" style="font-family:&quot;Arial&quot;;font-size:1pt" trim="t"/>
          <v:fill o:detectmouseclick="t" type="solid" color2="black"/>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r>
      <w:rPr>
        <w:rFonts w:cs="Verdana" w:ascii="Verdana" w:hAnsi="Verdana"/>
        <w:b/>
        <w:bCs/>
        <w:szCs w:val="20"/>
      </w:rPr>
      <w:t xml:space="preserve"> </w:t>
    </w:r>
  </w:p>
  <w:p>
    <w:pPr>
      <w:pStyle w:val="Normal"/>
      <w:jc w:val="center"/>
      <w:rPr>
        <w:rFonts w:ascii="Verdana" w:hAnsi="Verdana"/>
        <w:b/>
        <w:bCs/>
        <w:szCs w:val="20"/>
      </w:rPr>
    </w:pPr>
    <w:r>
      <w:rPr>
        <w:rFonts w:cs="Calibri" w:ascii="Verdana" w:hAnsi="Verdana"/>
        <w:b/>
        <w:bCs/>
        <w:szCs w:val="20"/>
      </w:rPr>
      <w:t xml:space="preserve"> </w:t>
    </w:r>
    <w:r>
      <w:rPr>
        <w:rFonts w:cs="Calibri" w:ascii="Verdana" w:hAnsi="Verdana"/>
        <w:b/>
        <w:bCs/>
        <w:szCs w:val="20"/>
      </w:rPr>
      <w:t>Secretaria Municipal de Administração</w:t>
    </w:r>
  </w:p>
  <w:p>
    <w:pPr>
      <w:pStyle w:val="Normal"/>
      <w:jc w:val="center"/>
      <w:rPr>
        <w:rFonts w:ascii="Verdana" w:hAnsi="Verdana"/>
        <w:b/>
        <w:bCs/>
        <w:szCs w:val="20"/>
      </w:rPr>
    </w:pPr>
    <w:r>
      <w:rPr>
        <w:rFonts w:ascii="Verdana" w:hAnsi="Verdana"/>
        <w:b/>
        <w:bCs/>
        <w:szCs w:val="20"/>
      </w:rPr>
    </w:r>
  </w:p>
  <w:p>
    <w:pPr>
      <w:pStyle w:val="Normal"/>
      <w:jc w:val="center"/>
      <w:rPr>
        <w:rFonts w:ascii="Verdana" w:hAnsi="Verdana"/>
        <w:b/>
        <w:bCs/>
        <w:szCs w:val="20"/>
      </w:rPr>
    </w:pPr>
    <w:r>
      <w:rPr>
        <w:rFonts w:ascii="Verdana" w:hAnsi="Verdana"/>
        <w:b/>
        <w:bCs/>
        <w:szCs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b/>
        <w:bCs/>
        <w:szCs w:val="20"/>
      </w:rPr>
    </w:pPr>
    <w:r>
      <w:drawing>
        <wp:anchor behindDoc="1" distT="0" distB="0" distL="114935" distR="114935" simplePos="0" locked="0" layoutInCell="0" allowOverlap="1" relativeHeight="11">
          <wp:simplePos x="0" y="0"/>
          <wp:positionH relativeFrom="column">
            <wp:posOffset>175260</wp:posOffset>
          </wp:positionH>
          <wp:positionV relativeFrom="paragraph">
            <wp:posOffset>-86360</wp:posOffset>
          </wp:positionV>
          <wp:extent cx="647700" cy="542925"/>
          <wp:effectExtent l="0" t="0" r="0" b="0"/>
          <wp:wrapSquare wrapText="bothSides"/>
          <wp:docPr id="4"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descr=""/>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pict>
        <v:shape id="PowerPlusWaterMarkObject259915283" o:spid="shape_0" adj="10800" fillcolor="white" stroked="f" o:allowincell="f" style="position:absolute;margin-left:243.45pt;margin-top:347.5pt;width:9.2pt;height:1pt;mso-wrap-style:none;v-text-anchor:middle;rotation:315;mso-position-horizontal:center;mso-position-horizontal-relative:margin;mso-position-vertical:center;mso-position-vertical-relative:margin" type="_x0000_t136">
          <v:path textpathok="t"/>
          <v:textpath on="t" fitshape="t" string="MINUTA DE EDITAL" style="font-family:&quot;Arial&quot;;font-size:1pt" trim="t"/>
          <v:fill o:detectmouseclick="t" type="solid" color2="black"/>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r>
      <w:rPr>
        <w:rFonts w:cs="Verdana" w:ascii="Verdana" w:hAnsi="Verdana"/>
        <w:b/>
        <w:bCs/>
        <w:szCs w:val="20"/>
      </w:rPr>
      <w:t xml:space="preserve"> </w:t>
    </w:r>
  </w:p>
  <w:p>
    <w:pPr>
      <w:pStyle w:val="Normal"/>
      <w:jc w:val="center"/>
      <w:rPr>
        <w:rFonts w:ascii="Verdana" w:hAnsi="Verdana"/>
        <w:b/>
        <w:bCs/>
        <w:szCs w:val="20"/>
      </w:rPr>
    </w:pPr>
    <w:r>
      <w:rPr>
        <w:rFonts w:cs="Calibri" w:ascii="Verdana" w:hAnsi="Verdana"/>
        <w:b/>
        <w:bCs/>
        <w:szCs w:val="20"/>
      </w:rPr>
      <w:t xml:space="preserve"> </w:t>
    </w:r>
    <w:r>
      <w:rPr>
        <w:rFonts w:cs="Calibri" w:ascii="Verdana" w:hAnsi="Verdana"/>
        <w:b/>
        <w:bCs/>
        <w:szCs w:val="20"/>
      </w:rPr>
      <w:t>Secretaria Municipal de Administração</w:t>
    </w:r>
  </w:p>
  <w:p>
    <w:pPr>
      <w:pStyle w:val="Normal"/>
      <w:jc w:val="center"/>
      <w:rPr>
        <w:rFonts w:ascii="Verdana" w:hAnsi="Verdana"/>
        <w:b/>
        <w:bCs/>
        <w:szCs w:val="20"/>
      </w:rPr>
    </w:pPr>
    <w:r>
      <w:rPr>
        <w:rFonts w:ascii="Verdana" w:hAnsi="Verdana"/>
        <w:b/>
        <w:bCs/>
        <w:szCs w:val="20"/>
      </w:rPr>
    </w:r>
  </w:p>
  <w:p>
    <w:pPr>
      <w:pStyle w:val="Normal"/>
      <w:jc w:val="center"/>
      <w:rPr>
        <w:rFonts w:ascii="Verdana" w:hAnsi="Verdana"/>
        <w:b/>
        <w:bCs/>
        <w:szCs w:val="20"/>
      </w:rPr>
    </w:pPr>
    <w:r>
      <w:rPr>
        <w:rFonts w:ascii="Verdana" w:hAnsi="Verdana"/>
        <w:b/>
        <w:bCs/>
        <w:szCs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Fonts w:ascii="Verdana" w:hAnsi="Verdana"/>
      </w:rPr>
    </w:lvl>
    <w:lvl w:ilvl="1">
      <w:start w:val="1"/>
      <w:numFmt w:val="decimal"/>
      <w:lvlText w:val="%1.%2."/>
      <w:lvlJc w:val="left"/>
      <w:pPr>
        <w:tabs>
          <w:tab w:val="num" w:pos="0"/>
        </w:tabs>
        <w:ind w:left="567" w:hanging="207"/>
      </w:pPr>
      <w:rPr>
        <w:sz w:val="20"/>
        <w:i w:val="false"/>
        <w:b/>
        <w:szCs w:val="20"/>
        <w:iCs/>
        <w:rFonts w:ascii="Verdana" w:hAnsi="Verdana"/>
        <w:color w:val="auto"/>
      </w:rPr>
    </w:lvl>
    <w:lvl w:ilvl="2">
      <w:start w:val="1"/>
      <w:numFmt w:val="decimal"/>
      <w:lvlText w:val="%1.%2.%3."/>
      <w:lvlJc w:val="left"/>
      <w:pPr>
        <w:tabs>
          <w:tab w:val="num" w:pos="0"/>
        </w:tabs>
        <w:ind w:left="1224" w:hanging="504"/>
      </w:pPr>
      <w:rPr>
        <w:i w:val="false"/>
        <w:b/>
        <w:iCs/>
        <w:rFonts w:ascii="Verdana" w:hAnsi="Verdana" w:cs="Arial"/>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iCs/>
        <w:b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rPr/>
    </w:lvl>
    <w:lvl w:ilvl="2">
      <w:start w:val="1"/>
      <w:numFmt w:val="lowerRoman"/>
      <w:lvlText w:val="%3."/>
      <w:lvlJc w:val="right"/>
      <w:pPr>
        <w:tabs>
          <w:tab w:val="num" w:pos="0"/>
        </w:tabs>
        <w:ind w:left="2790" w:hanging="180"/>
      </w:pPr>
      <w:rPr/>
    </w:lvl>
    <w:lvl w:ilvl="3">
      <w:start w:val="1"/>
      <w:numFmt w:val="decimal"/>
      <w:lvlText w:val="%4."/>
      <w:lvlJc w:val="left"/>
      <w:pPr>
        <w:tabs>
          <w:tab w:val="num" w:pos="0"/>
        </w:tabs>
        <w:ind w:left="3510" w:hanging="360"/>
      </w:pPr>
      <w:rPr/>
    </w:lvl>
    <w:lvl w:ilvl="4">
      <w:start w:val="1"/>
      <w:numFmt w:val="lowerLetter"/>
      <w:lvlText w:val="%5."/>
      <w:lvlJc w:val="left"/>
      <w:pPr>
        <w:tabs>
          <w:tab w:val="num" w:pos="0"/>
        </w:tabs>
        <w:ind w:left="4230" w:hanging="360"/>
      </w:pPr>
      <w:rPr/>
    </w:lvl>
    <w:lvl w:ilvl="5">
      <w:start w:val="1"/>
      <w:numFmt w:val="lowerRoman"/>
      <w:lvlText w:val="%6."/>
      <w:lvlJc w:val="right"/>
      <w:pPr>
        <w:tabs>
          <w:tab w:val="num" w:pos="0"/>
        </w:tabs>
        <w:ind w:left="4950" w:hanging="180"/>
      </w:pPr>
      <w:rPr/>
    </w:lvl>
    <w:lvl w:ilvl="6">
      <w:start w:val="1"/>
      <w:numFmt w:val="decimal"/>
      <w:lvlText w:val="%7."/>
      <w:lvlJc w:val="left"/>
      <w:pPr>
        <w:tabs>
          <w:tab w:val="num" w:pos="0"/>
        </w:tabs>
        <w:ind w:left="5670" w:hanging="360"/>
      </w:pPr>
      <w:rPr/>
    </w:lvl>
    <w:lvl w:ilvl="7">
      <w:start w:val="1"/>
      <w:numFmt w:val="lowerLetter"/>
      <w:lvlText w:val="%8."/>
      <w:lvlJc w:val="left"/>
      <w:pPr>
        <w:tabs>
          <w:tab w:val="num" w:pos="0"/>
        </w:tabs>
        <w:ind w:left="6390" w:hanging="360"/>
      </w:pPr>
      <w:rPr/>
    </w:lvl>
    <w:lvl w:ilvl="8">
      <w:start w:val="1"/>
      <w:numFmt w:val="lowerRoman"/>
      <w:lvlText w:val="%9."/>
      <w:lvlJc w:val="right"/>
      <w:pPr>
        <w:tabs>
          <w:tab w:val="num" w:pos="0"/>
        </w:tabs>
        <w:ind w:left="7110"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auto"/>
      <w:kern w:val="0"/>
      <w:sz w:val="20"/>
      <w:szCs w:val="24"/>
      <w:lang w:eastAsia="pt-BR" w:val="pt-BR" w:bidi="ar-SA"/>
    </w:rPr>
  </w:style>
  <w:style w:type="paragraph" w:styleId="Heading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themeColor="accent1" w:themeShade="bf" w:val="2F5496"/>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InternetLink" w:customStyle="1">
    <w:name w:val="Internet Link"/>
    <w:basedOn w:val="DefaultParagraphFont"/>
    <w:unhideWhenUsed/>
    <w:qFormat/>
    <w:rsid w:val="005c474f"/>
    <w:rPr>
      <w:color w:themeColor="hyperlink" w:val="0563C1"/>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name w:val="Unresolved Mention"/>
    <w:basedOn w:val="DefaultParagraphFont"/>
    <w:uiPriority w:val="99"/>
    <w:semiHidden/>
    <w:unhideWhenUsed/>
    <w:qFormat/>
    <w:rsid w:val="005c474f"/>
    <w:rPr>
      <w:color w:val="605E5C"/>
      <w:shd w:fill="E1DFDD" w:val="clear"/>
    </w:rPr>
  </w:style>
  <w:style w:type="character" w:styleId="WW8Num13z2" w:customStyle="1">
    <w:name w:val="WW8Num13z2"/>
    <w:qFormat/>
    <w:rsid w:val="00344c92"/>
    <w:rPr/>
  </w:style>
  <w:style w:type="character" w:styleId="Strong">
    <w:name w:val="Strong"/>
    <w:basedOn w:val="DefaultParagraphFont"/>
    <w:uiPriority w:val="22"/>
    <w:qFormat/>
    <w:rsid w:val="005c44af"/>
    <w:rPr>
      <w:b/>
      <w:bCs/>
    </w:rPr>
  </w:style>
  <w:style w:type="character" w:styleId="Forte1" w:customStyle="1">
    <w:name w:val="Forte1"/>
    <w:qFormat/>
    <w:rsid w:val="00ab28ac"/>
    <w:rPr>
      <w:b/>
      <w:bCs/>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rPr>
  </w:style>
  <w:style w:type="paragraph" w:styleId="ndice" w:customStyle="1">
    <w:name w:val="Índice"/>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Arial"/>
      <w:sz w:val="28"/>
      <w:szCs w:val="28"/>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Heading1"/>
    <w:next w:val="Normal"/>
    <w:link w:val="Nivel01Char"/>
    <w:qFormat/>
    <w:rsid w:val="009f7713"/>
    <w:pPr>
      <w:spacing w:lineRule="auto" w:line="276" w:before="480" w:after="120"/>
      <w:ind w:right="-15"/>
      <w:jc w:val="both"/>
    </w:pPr>
    <w:rPr>
      <w:rFonts w:ascii="Arial" w:hAnsi="Arial" w:cs="Times New Roman"/>
      <w:b/>
      <w:bCs/>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ListParagraph">
    <w:name w:val="List Paragraph"/>
    <w:basedOn w:val="Normal"/>
    <w:qFormat/>
    <w:rsid w:val="006a70c8"/>
    <w:pPr>
      <w:spacing w:before="0" w:after="0"/>
      <w:ind w:left="720"/>
      <w:contextualSpacing/>
    </w:pPr>
    <w:rPr/>
  </w:style>
  <w:style w:type="paragraph" w:styleId="citao2" w:customStyle="1">
    <w:name w:val="citação 2"/>
    <w:basedOn w:val="Quote"/>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Heading1"/>
    <w:qFormat/>
    <w:rsid w:val="00fa4ef2"/>
    <w:pPr>
      <w:spacing w:lineRule="auto" w:line="276" w:before="480" w:after="0"/>
      <w:ind w:hanging="360" w:left="644"/>
      <w:jc w:val="both"/>
    </w:pPr>
    <w:rPr>
      <w:rFonts w:ascii="Arial" w:hAnsi="Arial" w:cs="Times New Roman"/>
      <w:b/>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eastAsia="pt-BR" w:val="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name w:val="Cabeçalho e rodapé4"/>
    <w:basedOn w:val="Normal"/>
    <w:qFormat/>
    <w:pPr/>
    <w:rPr/>
  </w:style>
  <w:style w:type="paragraph" w:styleId="Header">
    <w:name w:val="Header"/>
    <w:basedOn w:val="Normal"/>
    <w:link w:val="CabealhoChar"/>
    <w:unhideWhenUsed/>
    <w:rsid w:val="00805244"/>
    <w:pPr>
      <w:tabs>
        <w:tab w:val="clear" w:pos="708"/>
        <w:tab w:val="center" w:pos="4252" w:leader="none"/>
        <w:tab w:val="right" w:pos="8504" w:leader="none"/>
      </w:tabs>
    </w:pPr>
    <w:rPr/>
  </w:style>
  <w:style w:type="paragraph" w:styleId="Footer">
    <w:name w:val="Footer"/>
    <w:basedOn w:val="Normal"/>
    <w:link w:val="RodapChar"/>
    <w:uiPriority w:val="99"/>
    <w:unhideWhenUsed/>
    <w:rsid w:val="00805244"/>
    <w:pPr>
      <w:tabs>
        <w:tab w:val="clear" w:pos="708"/>
        <w:tab w:val="center" w:pos="4252" w:leader="none"/>
        <w:tab w:val="right" w:pos="8504" w:leader="none"/>
      </w:tabs>
    </w:pPr>
    <w:rPr/>
  </w:style>
  <w:style w:type="paragraph" w:styleId="Standard" w:customStyle="1">
    <w:name w:val="Standard"/>
    <w:qFormat/>
    <w:rsid w:val="003a33c2"/>
    <w:pPr>
      <w:widowControl/>
      <w:suppressAutoHyphens w:val="true"/>
      <w:bidi w:val="0"/>
      <w:spacing w:before="0" w:after="0"/>
      <w:jc w:val="left"/>
    </w:pPr>
    <w:rPr>
      <w:rFonts w:ascii="Times New Roman" w:hAnsi="Times New Roman" w:eastAsia="Times New Roman" w:cs="Times New Roman"/>
      <w:color w:val="auto"/>
      <w:kern w:val="0"/>
      <w:sz w:val="24"/>
      <w:szCs w:val="20"/>
      <w:lang w:eastAsia="pt-BR" w:val="pt-BR" w:bidi="ar-SA"/>
    </w:rPr>
  </w:style>
  <w:style w:type="paragraph" w:styleId="Contedodatabela" w:customStyle="1">
    <w:name w:val="Conteúdo da tabela"/>
    <w:basedOn w:val="Normal"/>
    <w:qFormat/>
    <w:rsid w:val="000064f1"/>
    <w:pPr>
      <w:suppressLineNumbers/>
    </w:pPr>
    <w:rPr>
      <w:rFonts w:ascii="Times New Roman" w:hAnsi="Times New Roman" w:cs="Times New Roman"/>
      <w:sz w:val="24"/>
      <w:szCs w:val="20"/>
    </w:rPr>
  </w:style>
  <w:style w:type="paragraph" w:styleId="Aviso-ClusulaPrincipal" w:customStyle="1">
    <w:name w:val="Aviso - Cláusula Principal"/>
    <w:basedOn w:val="Heading1"/>
    <w:qFormat/>
    <w:rsid w:val="000d02c1"/>
    <w:pPr>
      <w:snapToGrid w:val="false"/>
      <w:spacing w:lineRule="auto" w:line="360" w:before="240" w:after="240"/>
      <w:ind w:right="-30"/>
      <w:jc w:val="both"/>
    </w:pPr>
    <w:rPr>
      <w:rFonts w:ascii="Arial" w:hAnsi="Arial" w:eastAsia="Times New Roman" w:cs="Arial"/>
      <w:b/>
      <w:sz w:val="24"/>
      <w:szCs w:val="24"/>
    </w:rPr>
  </w:style>
  <w:style w:type="paragraph" w:styleId="Contedodoquadro" w:customStyle="1">
    <w:name w:val="Conteúdo do quadro"/>
    <w:basedOn w:val="Normal"/>
    <w:qFormat/>
    <w:pPr/>
    <w:rPr/>
  </w:style>
  <w:style w:type="paragraph" w:styleId="TableParagraph" w:customStyle="1">
    <w:name w:val="Table Paragraph"/>
    <w:basedOn w:val="Normal"/>
    <w:qFormat/>
    <w:rsid w:val="002e2789"/>
    <w:pPr>
      <w:widowControl w:val="false"/>
      <w:suppressAutoHyphens w:val="false"/>
    </w:pPr>
    <w:rPr>
      <w:rFonts w:ascii="Calibri" w:hAnsi="Calibri" w:eastAsia="Calibri" w:cs="Calibri"/>
      <w:sz w:val="22"/>
      <w:szCs w:val="22"/>
      <w:lang w:val="pt-PT" w:eastAsia="en-US"/>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3">
    <w:name w:val="Tabela com grade3"/>
    <w:basedOn w:val="Tabelanormal"/>
    <w:uiPriority w:val="59"/>
    <w:rsid w:val="000d02c1"/>
    <w:rPr>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Application>LibreOffice/24.2.6.2$Windows_X86_64 LibreOffice_project/ef66aa7e36a1bb8e65bfbc63aba53045a14d0871</Application>
  <AppVersion>15.0000</AppVersion>
  <Pages>10</Pages>
  <Words>4612</Words>
  <Characters>26540</Characters>
  <CharactersWithSpaces>30838</CharactersWithSpaces>
  <Paragraphs>191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2024-02-27T18:18:00Z</dcterms:created>
  <dc:creator>Hugo Sales</dc:creator>
  <dc:description/>
  <dc:language>pt-BR</dc:language>
  <cp:lastModifiedBy/>
  <cp:lastPrinted>2025-04-15T19:36:00Z</cp:lastPrinted>
  <dcterms:modified xsi:type="dcterms:W3CDTF">2025-04-16T17:41:12Z</dcterms:modified>
  <cp:revision>65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